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webkit-standard" w:cs="-webkit-standard" w:eastAsia="-webkit-standard" w:hAnsi="-webkit-standard"/>
          <w:color w:val="000000"/>
        </w:rPr>
      </w:pPr>
      <w:r w:rsidDel="00000000" w:rsidR="00000000" w:rsidRPr="00000000">
        <w:rPr>
          <w:color w:val="000000"/>
          <w:sz w:val="32"/>
          <w:szCs w:val="32"/>
          <w:rtl w:val="0"/>
        </w:rPr>
        <w:t xml:space="preserve">Incidencia de flebitis en pacientes adultos quirúrgicos con catéteres venosos periféricos en el Hospital Asepeyo de Coslada.</w:t>
      </w:r>
      <w:r w:rsidDel="00000000" w:rsidR="00000000" w:rsidRPr="00000000">
        <w:rPr>
          <w:rtl w:val="0"/>
        </w:rPr>
      </w:r>
    </w:p>
    <w:p w:rsidR="00000000" w:rsidDel="00000000" w:rsidP="00000000" w:rsidRDefault="00000000" w:rsidRPr="00000000" w14:paraId="00000002">
      <w:pPr>
        <w:rPr>
          <w:color w:val="000000"/>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color w:val="000000"/>
          <w:sz w:val="22"/>
          <w:szCs w:val="22"/>
          <w:rtl w:val="0"/>
        </w:rPr>
        <w:t xml:space="preserve">AUTORES:</w:t>
      </w:r>
      <w:r w:rsidDel="00000000" w:rsidR="00000000" w:rsidRPr="00000000">
        <w:rPr>
          <w:rtl w:val="0"/>
        </w:rPr>
      </w:r>
    </w:p>
    <w:p w:rsidR="00000000" w:rsidDel="00000000" w:rsidP="00000000" w:rsidRDefault="00000000" w:rsidRPr="00000000" w14:paraId="00000004">
      <w:pPr>
        <w:spacing w:after="240" w:before="240" w:lineRule="auto"/>
        <w:rPr>
          <w:color w:val="000000"/>
          <w:sz w:val="22"/>
          <w:szCs w:val="22"/>
        </w:rPr>
      </w:pPr>
      <w:r w:rsidDel="00000000" w:rsidR="00000000" w:rsidRPr="00000000">
        <w:rPr>
          <w:sz w:val="22"/>
          <w:szCs w:val="22"/>
          <w:rtl w:val="0"/>
        </w:rPr>
        <w:t xml:space="preserve">Valdéz Salazar, Rosario; Pacheco Fernández Nahiara, Acosta Cuellar, Marta; Álvarez Nogales, Marisol; Villalba Sánchez, Irene; Fuentes García, Beatriz; Prieto López, Lola.</w:t>
      </w:r>
      <w:r w:rsidDel="00000000" w:rsidR="00000000" w:rsidRPr="00000000">
        <w:rPr>
          <w:rtl w:val="0"/>
        </w:rPr>
      </w:r>
    </w:p>
    <w:p w:rsidR="00000000" w:rsidDel="00000000" w:rsidP="00000000" w:rsidRDefault="00000000" w:rsidRPr="00000000" w14:paraId="00000005">
      <w:pPr>
        <w:rPr>
          <w:rFonts w:ascii="-webkit-standard" w:cs="-webkit-standard" w:eastAsia="-webkit-standard" w:hAnsi="-webkit-standard"/>
          <w:color w:val="000000"/>
        </w:rPr>
      </w:pPr>
      <w:r w:rsidDel="00000000" w:rsidR="00000000" w:rsidRPr="00000000">
        <w:rPr>
          <w:color w:val="000000"/>
          <w:sz w:val="22"/>
          <w:szCs w:val="22"/>
          <w:rtl w:val="0"/>
        </w:rPr>
        <w:t xml:space="preserve">PALABRAS CLAVE: </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color w:val="000000"/>
          <w:sz w:val="22"/>
          <w:szCs w:val="22"/>
          <w:rtl w:val="0"/>
        </w:rPr>
        <w:t xml:space="preserve">Flebitis, </w:t>
      </w:r>
      <w:r w:rsidDel="00000000" w:rsidR="00000000" w:rsidRPr="00000000">
        <w:rPr>
          <w:sz w:val="22"/>
          <w:szCs w:val="22"/>
          <w:rtl w:val="0"/>
        </w:rPr>
        <w:t xml:space="preserve">Catéteres, Infecciones Relacionadas con Catéteres, Cuidados de Enfermería, Seguridad del Paciente, Incidencia.</w:t>
      </w:r>
    </w:p>
    <w:p w:rsidR="00000000" w:rsidDel="00000000" w:rsidP="00000000" w:rsidRDefault="00000000" w:rsidRPr="00000000" w14:paraId="00000007">
      <w:pPr>
        <w:spacing w:after="240" w:before="240" w:lineRule="auto"/>
        <w:rPr>
          <w:color w:val="000000"/>
          <w:sz w:val="22"/>
          <w:szCs w:val="22"/>
        </w:rPr>
      </w:pPr>
      <w:r w:rsidDel="00000000" w:rsidR="00000000" w:rsidRPr="00000000">
        <w:rPr>
          <w:sz w:val="22"/>
          <w:szCs w:val="22"/>
          <w:rtl w:val="0"/>
        </w:rPr>
        <w:t xml:space="preserve">KEYWORDS</w:t>
      </w:r>
      <w:r w:rsidDel="00000000" w:rsidR="00000000" w:rsidRPr="00000000">
        <w:rPr>
          <w:sz w:val="22"/>
          <w:szCs w:val="22"/>
          <w:rtl w:val="0"/>
        </w:rPr>
        <w:t xml:space="preserve">: Phlebitis, Catheters, Cathether-Related Infections, Nursing Care, Patient Safety, Incidence.</w:t>
      </w:r>
      <w:r w:rsidDel="00000000" w:rsidR="00000000" w:rsidRPr="00000000">
        <w:rPr>
          <w:rtl w:val="0"/>
        </w:rPr>
      </w:r>
    </w:p>
    <w:p w:rsidR="00000000" w:rsidDel="00000000" w:rsidP="00000000" w:rsidRDefault="00000000" w:rsidRPr="00000000" w14:paraId="00000008">
      <w:pPr>
        <w:rPr>
          <w:color w:val="000000"/>
          <w:sz w:val="16"/>
          <w:szCs w:val="16"/>
        </w:rPr>
      </w:pPr>
      <w:r w:rsidDel="00000000" w:rsidR="00000000" w:rsidRPr="00000000">
        <w:rPr>
          <w:color w:val="000000"/>
          <w:sz w:val="16"/>
          <w:szCs w:val="16"/>
          <w:rtl w:val="0"/>
        </w:rPr>
        <w:t xml:space="preserve">Resumen.</w:t>
        <w:tab/>
        <w:tab/>
        <w:tab/>
        <w:tab/>
        <w:tab/>
        <w:tab/>
        <w:tab/>
        <w:tab/>
        <w:tab/>
        <w:tab/>
        <w:tab/>
        <w:t xml:space="preserve">    </w:t>
      </w:r>
      <w:r w:rsidDel="00000000" w:rsidR="00000000" w:rsidRPr="00000000">
        <w:rPr>
          <w:i w:val="1"/>
          <w:color w:val="000000"/>
          <w:sz w:val="16"/>
          <w:szCs w:val="16"/>
          <w:rtl w:val="0"/>
        </w:rPr>
        <w:t xml:space="preserve">Objetivo</w:t>
      </w:r>
      <w:r w:rsidDel="00000000" w:rsidR="00000000" w:rsidRPr="00000000">
        <w:rPr>
          <w:color w:val="000000"/>
          <w:sz w:val="16"/>
          <w:szCs w:val="16"/>
          <w:rtl w:val="0"/>
        </w:rPr>
        <w:t xml:space="preserve">: Determinar la incidencia de flebitis en pacientes adultos con catéter venoso periférico (CVP) sometidos a cirugía programada. </w:t>
      </w:r>
    </w:p>
    <w:p w:rsidR="00000000" w:rsidDel="00000000" w:rsidP="00000000" w:rsidRDefault="00000000" w:rsidRPr="00000000" w14:paraId="00000009">
      <w:pPr>
        <w:rPr>
          <w:color w:val="000000"/>
          <w:sz w:val="16"/>
          <w:szCs w:val="16"/>
        </w:rPr>
      </w:pPr>
      <w:r w:rsidDel="00000000" w:rsidR="00000000" w:rsidRPr="00000000">
        <w:rPr>
          <w:i w:val="1"/>
          <w:color w:val="000000"/>
          <w:sz w:val="16"/>
          <w:szCs w:val="16"/>
          <w:rtl w:val="0"/>
        </w:rPr>
        <w:t xml:space="preserve">Método</w:t>
      </w:r>
      <w:r w:rsidDel="00000000" w:rsidR="00000000" w:rsidRPr="00000000">
        <w:rPr>
          <w:color w:val="000000"/>
          <w:sz w:val="16"/>
          <w:szCs w:val="16"/>
          <w:rtl w:val="0"/>
        </w:rPr>
        <w:t xml:space="preserve">: Estudio observacional y descriptivo en el Hospital Asepeyo (Coslada). Se incluyeron 171 pacientes y 174 CVP.  Se monitoriza la aparición de flebitis, desde el momento de la inserción del CVP hasta su retirada. Se considera flebitis estricta a partir del valor numérico 2 según la escala visual de valoración de flebitis. Se realizó el análisis estadístico de las variables cuantitativas y cualitativas, así como el cálculo de la incidencia acumulada y la tasa de incidencia de flebitis.</w:t>
      </w:r>
      <w:r w:rsidDel="00000000" w:rsidR="00000000" w:rsidRPr="00000000">
        <w:rPr>
          <w:i w:val="1"/>
          <w:color w:val="000000"/>
          <w:sz w:val="16"/>
          <w:szCs w:val="16"/>
          <w:rtl w:val="0"/>
        </w:rPr>
        <w:t xml:space="preserve"> </w:t>
      </w:r>
      <w:r w:rsidDel="00000000" w:rsidR="00000000" w:rsidRPr="00000000">
        <w:rPr>
          <w:rtl w:val="0"/>
        </w:rPr>
      </w:r>
    </w:p>
    <w:p w:rsidR="00000000" w:rsidDel="00000000" w:rsidP="00000000" w:rsidRDefault="00000000" w:rsidRPr="00000000" w14:paraId="0000000A">
      <w:pPr>
        <w:rPr>
          <w:color w:val="000000"/>
          <w:sz w:val="16"/>
          <w:szCs w:val="16"/>
        </w:rPr>
      </w:pPr>
      <w:r w:rsidDel="00000000" w:rsidR="00000000" w:rsidRPr="00000000">
        <w:rPr>
          <w:i w:val="1"/>
          <w:color w:val="000000"/>
          <w:sz w:val="16"/>
          <w:szCs w:val="16"/>
          <w:rtl w:val="0"/>
        </w:rPr>
        <w:t xml:space="preserve">Resultado</w:t>
      </w:r>
      <w:r w:rsidDel="00000000" w:rsidR="00000000" w:rsidRPr="00000000">
        <w:rPr>
          <w:color w:val="000000"/>
          <w:sz w:val="16"/>
          <w:szCs w:val="16"/>
          <w:rtl w:val="0"/>
        </w:rPr>
        <w:t xml:space="preserve">: La edad media de los pacientes fue de 47 años (DS 11,4); 129 (75%) varones y 42 (25%) mujeres. La lateralidad más frecuente para la canalización del CVP fue el miembro superior izquierdo en (n=122; 70%) de los casos. El tiempo medio de permanencia de cada CVP fue de 2,5 días (DS 1,3). El grado 2 de flebitis, fue la más frecuente (n=7; 87,5%) y se asoció a los CVP de mayor diámetro. La incidencia acumulada de flebitis siguiendo el criterio del estudio fue de un 4,6% mientras la tasa de incidencia por 1000 días de catéter se estimó en un 18,9</w:t>
      </w:r>
    </w:p>
    <w:p w:rsidR="00000000" w:rsidDel="00000000" w:rsidP="00000000" w:rsidRDefault="00000000" w:rsidRPr="00000000" w14:paraId="0000000B">
      <w:pPr>
        <w:rPr>
          <w:color w:val="000000"/>
          <w:sz w:val="16"/>
          <w:szCs w:val="16"/>
        </w:rPr>
      </w:pPr>
      <w:r w:rsidDel="00000000" w:rsidR="00000000" w:rsidRPr="00000000">
        <w:rPr>
          <w:i w:val="1"/>
          <w:color w:val="000000"/>
          <w:sz w:val="16"/>
          <w:szCs w:val="16"/>
          <w:rtl w:val="0"/>
        </w:rPr>
        <w:t xml:space="preserve">Conclusión</w:t>
      </w:r>
      <w:r w:rsidDel="00000000" w:rsidR="00000000" w:rsidRPr="00000000">
        <w:rPr>
          <w:color w:val="000000"/>
          <w:sz w:val="16"/>
          <w:szCs w:val="16"/>
          <w:rtl w:val="0"/>
        </w:rPr>
        <w:t xml:space="preserve">: La incidencia acumulada de flebitis en CVP que determinó este estudio (4,6%), se encuentra por debajo de la internacionalmente recomendada (5%) y de algunos estudios de similar metodología. Los datos permiten establecer la situación basal del hospital para implementar medidas de mejora.</w:t>
      </w:r>
    </w:p>
    <w:p w:rsidR="00000000" w:rsidDel="00000000" w:rsidP="00000000" w:rsidRDefault="00000000" w:rsidRPr="00000000" w14:paraId="0000000C">
      <w:pPr>
        <w:rPr>
          <w:color w:val="000000"/>
          <w:sz w:val="16"/>
          <w:szCs w:val="16"/>
        </w:rPr>
      </w:pPr>
      <w:r w:rsidDel="00000000" w:rsidR="00000000" w:rsidRPr="00000000">
        <w:rPr>
          <w:rtl w:val="0"/>
        </w:rPr>
      </w:r>
    </w:p>
    <w:p w:rsidR="00000000" w:rsidDel="00000000" w:rsidP="00000000" w:rsidRDefault="00000000" w:rsidRPr="00000000" w14:paraId="0000000D">
      <w:pPr>
        <w:rPr>
          <w:color w:val="000000"/>
          <w:sz w:val="16"/>
          <w:szCs w:val="16"/>
        </w:rPr>
      </w:pPr>
      <w:r w:rsidDel="00000000" w:rsidR="00000000" w:rsidRPr="00000000">
        <w:rPr>
          <w:color w:val="000000"/>
          <w:sz w:val="16"/>
          <w:szCs w:val="16"/>
          <w:rtl w:val="0"/>
        </w:rPr>
        <w:t xml:space="preserve">Abstract</w:t>
      </w:r>
    </w:p>
    <w:p w:rsidR="00000000" w:rsidDel="00000000" w:rsidP="00000000" w:rsidRDefault="00000000" w:rsidRPr="00000000" w14:paraId="0000000E">
      <w:pPr>
        <w:rPr>
          <w:color w:val="000000"/>
          <w:sz w:val="16"/>
          <w:szCs w:val="16"/>
        </w:rPr>
      </w:pPr>
      <w:r w:rsidDel="00000000" w:rsidR="00000000" w:rsidRPr="00000000">
        <w:rPr>
          <w:color w:val="000000"/>
          <w:sz w:val="16"/>
          <w:szCs w:val="16"/>
          <w:rtl w:val="0"/>
        </w:rPr>
        <w:t xml:space="preserve">Objective: To determine the incidence of phlebitis in adult patients with a peripheral venous catheter (PVC) undergoing scheduled surgery. </w:t>
      </w:r>
    </w:p>
    <w:p w:rsidR="00000000" w:rsidDel="00000000" w:rsidP="00000000" w:rsidRDefault="00000000" w:rsidRPr="00000000" w14:paraId="0000000F">
      <w:pPr>
        <w:rPr>
          <w:color w:val="000000"/>
          <w:sz w:val="16"/>
          <w:szCs w:val="16"/>
        </w:rPr>
      </w:pPr>
      <w:r w:rsidDel="00000000" w:rsidR="00000000" w:rsidRPr="00000000">
        <w:rPr>
          <w:color w:val="000000"/>
          <w:sz w:val="16"/>
          <w:szCs w:val="16"/>
          <w:rtl w:val="0"/>
        </w:rPr>
        <w:t xml:space="preserve">Method: Observational and descriptive study at the Hospital Asepeyo Coslada. 171 patients and 174 CVP were included. Each case was followed up, from the insertion of the catheter until it´s removal.</w:t>
      </w:r>
      <w:r w:rsidDel="00000000" w:rsidR="00000000" w:rsidRPr="00000000">
        <w:rPr>
          <w:color w:val="000000"/>
          <w:rtl w:val="0"/>
        </w:rPr>
        <w:t xml:space="preserve"> </w:t>
      </w:r>
      <w:r w:rsidDel="00000000" w:rsidR="00000000" w:rsidRPr="00000000">
        <w:rPr>
          <w:color w:val="000000"/>
          <w:sz w:val="16"/>
          <w:szCs w:val="16"/>
          <w:rtl w:val="0"/>
        </w:rPr>
        <w:t xml:space="preserve">Strict phlebitis is considered from the numerical value 2 according to the visual phlebitis assessment scale. The statistical analysis of the quantitative and qualitative variables was carried out, as well as the calculation of the accumulated incidence and the incidence rate of phlebitis  </w:t>
      </w:r>
    </w:p>
    <w:p w:rsidR="00000000" w:rsidDel="00000000" w:rsidP="00000000" w:rsidRDefault="00000000" w:rsidRPr="00000000" w14:paraId="00000010">
      <w:pPr>
        <w:rPr>
          <w:color w:val="000000"/>
          <w:sz w:val="16"/>
          <w:szCs w:val="16"/>
        </w:rPr>
      </w:pPr>
      <w:r w:rsidDel="00000000" w:rsidR="00000000" w:rsidRPr="00000000">
        <w:rPr>
          <w:color w:val="000000"/>
          <w:sz w:val="16"/>
          <w:szCs w:val="16"/>
          <w:rtl w:val="0"/>
        </w:rPr>
        <w:t xml:space="preserve">Result: The mean age of the patients was 47 years (SD 11.4), they were male (n=129; 75%) and female (n= 42; 25%). The most frequent laterality for PVC canalization was the left upper limb in (n=122; 70%) of the cases. The mean residence time of each PVC was 2.5 days (SD 1.3). Grade 2 phlebitis was the most frequent (n=7; 87.5%) and was associated with PVCs with a larger diameter. The cumulative incidence of phlebitis following the study´s criteria was 4.6%, while the incidence rate per-1000 catheter days was estimated at 18.9.</w:t>
      </w:r>
    </w:p>
    <w:p w:rsidR="00000000" w:rsidDel="00000000" w:rsidP="00000000" w:rsidRDefault="00000000" w:rsidRPr="00000000" w14:paraId="00000011">
      <w:pPr>
        <w:rPr>
          <w:color w:val="000000"/>
          <w:sz w:val="16"/>
          <w:szCs w:val="16"/>
        </w:rPr>
      </w:pPr>
      <w:r w:rsidDel="00000000" w:rsidR="00000000" w:rsidRPr="00000000">
        <w:rPr>
          <w:color w:val="000000"/>
          <w:sz w:val="16"/>
          <w:szCs w:val="16"/>
          <w:rtl w:val="0"/>
        </w:rPr>
        <w:t xml:space="preserve">Conclusion: The cumulative incidence of phlebitis in CVP in this study (4.6%), is below the internationally recommended (5%) and some studies with similar methodology. The data allow us to establish the baseline situation of the hospital in order to carry out measures that allow us to improve the results.</w:t>
      </w:r>
    </w:p>
    <w:p w:rsidR="00000000" w:rsidDel="00000000" w:rsidP="00000000" w:rsidRDefault="00000000" w:rsidRPr="00000000" w14:paraId="00000012">
      <w:pPr>
        <w:spacing w:after="220" w:lineRule="auto"/>
        <w:rPr>
          <w:color w:val="000000"/>
          <w:sz w:val="16"/>
          <w:szCs w:val="16"/>
        </w:rPr>
      </w:pPr>
      <w:r w:rsidDel="00000000" w:rsidR="00000000" w:rsidRPr="00000000">
        <w:rPr>
          <w:rtl w:val="0"/>
        </w:rPr>
      </w:r>
    </w:p>
    <w:p w:rsidR="00000000" w:rsidDel="00000000" w:rsidP="00000000" w:rsidRDefault="00000000" w:rsidRPr="00000000" w14:paraId="00000013">
      <w:pPr>
        <w:rPr>
          <w:color w:val="000000"/>
          <w:sz w:val="22"/>
          <w:szCs w:val="22"/>
        </w:rPr>
      </w:pPr>
      <w:r w:rsidDel="00000000" w:rsidR="00000000" w:rsidRPr="00000000">
        <w:rPr>
          <w:color w:val="000000"/>
          <w:sz w:val="22"/>
          <w:szCs w:val="22"/>
          <w:rtl w:val="0"/>
        </w:rPr>
        <w:t xml:space="preserve">INTRODUCCIÓN.</w:t>
      </w:r>
    </w:p>
    <w:p w:rsidR="00000000" w:rsidDel="00000000" w:rsidP="00000000" w:rsidRDefault="00000000" w:rsidRPr="00000000" w14:paraId="00000014">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5">
      <w:pPr>
        <w:rPr>
          <w:rFonts w:ascii="-webkit-standard" w:cs="-webkit-standard" w:eastAsia="-webkit-standard" w:hAnsi="-webkit-standard"/>
          <w:color w:val="000000"/>
          <w:sz w:val="22"/>
          <w:szCs w:val="22"/>
        </w:rPr>
      </w:pPr>
      <w:r w:rsidDel="00000000" w:rsidR="00000000" w:rsidRPr="00000000">
        <w:rPr>
          <w:color w:val="000000"/>
          <w:sz w:val="22"/>
          <w:szCs w:val="22"/>
          <w:rtl w:val="0"/>
        </w:rPr>
        <w:t xml:space="preserve">La terapia intravenosa es uno de los procedimientos que con más frecuencia se realizan en el entorno hospitalario y para llevarla a cabo lo más común es la utilización de un catéter venoso periférico (CVP). Considerado el procedimiento invasivo más frecuente en los hospitales, llega a representar entre el 70-80% de los dispositivos intravenosos.</w:t>
      </w:r>
      <w:r w:rsidDel="00000000" w:rsidR="00000000" w:rsidRPr="00000000">
        <w:rPr>
          <w:color w:val="000000"/>
          <w:sz w:val="22"/>
          <w:szCs w:val="22"/>
          <w:vertAlign w:val="superscript"/>
          <w:rtl w:val="0"/>
        </w:rPr>
        <w:t xml:space="preserve">1,2,3</w:t>
      </w:r>
      <w:r w:rsidDel="00000000" w:rsidR="00000000" w:rsidRPr="00000000">
        <w:rPr>
          <w:color w:val="000000"/>
          <w:sz w:val="22"/>
          <w:szCs w:val="22"/>
          <w:rtl w:val="0"/>
        </w:rPr>
        <w:t xml:space="preserve"> Entendemos por CVP corto, aquel dispositivo insertado en una vena periférica que tiene una longitud menor de siete centímetros.</w:t>
      </w:r>
      <w:r w:rsidDel="00000000" w:rsidR="00000000" w:rsidRPr="00000000">
        <w:rPr>
          <w:color w:val="000000"/>
          <w:sz w:val="22"/>
          <w:szCs w:val="22"/>
          <w:vertAlign w:val="superscript"/>
          <w:rtl w:val="0"/>
        </w:rPr>
        <w:t xml:space="preserve">4</w:t>
      </w:r>
      <w:r w:rsidDel="00000000" w:rsidR="00000000" w:rsidRPr="00000000">
        <w:rPr>
          <w:color w:val="000000"/>
          <w:sz w:val="22"/>
          <w:szCs w:val="22"/>
          <w:rtl w:val="0"/>
        </w:rPr>
        <w:t xml:space="preserve"> Existe evidencia de una elevada tasa de complicaciones locales y sistémicas derivadas de su uso, siendo la flebitis la más común.</w:t>
      </w:r>
      <w:r w:rsidDel="00000000" w:rsidR="00000000" w:rsidRPr="00000000">
        <w:rPr>
          <w:color w:val="000000"/>
          <w:sz w:val="22"/>
          <w:szCs w:val="22"/>
          <w:vertAlign w:val="superscript"/>
          <w:rtl w:val="0"/>
        </w:rPr>
        <w:t xml:space="preserve">4,5,6</w:t>
      </w:r>
      <w:r w:rsidDel="00000000" w:rsidR="00000000" w:rsidRPr="00000000">
        <w:rPr>
          <w:rtl w:val="0"/>
        </w:rPr>
      </w:r>
    </w:p>
    <w:p w:rsidR="00000000" w:rsidDel="00000000" w:rsidP="00000000" w:rsidRDefault="00000000" w:rsidRPr="00000000" w14:paraId="00000016">
      <w:pPr>
        <w:rPr>
          <w:rFonts w:ascii="-webkit-standard" w:cs="-webkit-standard" w:eastAsia="-webkit-standard" w:hAnsi="-webkit-standard"/>
          <w:color w:val="000000"/>
          <w:sz w:val="22"/>
          <w:szCs w:val="22"/>
        </w:rPr>
      </w:pPr>
      <w:r w:rsidDel="00000000" w:rsidR="00000000" w:rsidRPr="00000000">
        <w:rPr>
          <w:rtl w:val="0"/>
        </w:rPr>
      </w:r>
    </w:p>
    <w:p w:rsidR="00000000" w:rsidDel="00000000" w:rsidP="00000000" w:rsidRDefault="00000000" w:rsidRPr="00000000" w14:paraId="00000017">
      <w:pPr>
        <w:rPr>
          <w:rFonts w:ascii="-webkit-standard" w:cs="-webkit-standard" w:eastAsia="-webkit-standard" w:hAnsi="-webkit-standard"/>
          <w:color w:val="000000"/>
          <w:sz w:val="22"/>
          <w:szCs w:val="22"/>
        </w:rPr>
      </w:pPr>
      <w:r w:rsidDel="00000000" w:rsidR="00000000" w:rsidRPr="00000000">
        <w:rPr>
          <w:color w:val="000000"/>
          <w:sz w:val="22"/>
          <w:szCs w:val="22"/>
          <w:rtl w:val="0"/>
        </w:rPr>
        <w:t xml:space="preserve">La flebitis consiste en la inflamación de una vena debido a la alteración del endotelio durante o después de la infusión endovenosa. Se caracteriza por dolor, edema y aumento de temperatura local, eritema/enrojecimiento de la zona o el trayecto venoso, y cordón venoso palpable; en ocasiones puede estar acompañado de secreción purulenta y/o fiebre, pudiendo llegar a producir una trombosis venosa en los casos más graves.</w:t>
      </w:r>
      <w:r w:rsidDel="00000000" w:rsidR="00000000" w:rsidRPr="00000000">
        <w:rPr>
          <w:color w:val="000000"/>
          <w:sz w:val="22"/>
          <w:szCs w:val="22"/>
          <w:vertAlign w:val="superscript"/>
          <w:rtl w:val="0"/>
        </w:rPr>
        <w:t xml:space="preserve">3,5,6,7</w:t>
      </w:r>
      <w:r w:rsidDel="00000000" w:rsidR="00000000" w:rsidRPr="00000000">
        <w:rPr>
          <w:rtl w:val="0"/>
        </w:rPr>
      </w:r>
    </w:p>
    <w:p w:rsidR="00000000" w:rsidDel="00000000" w:rsidP="00000000" w:rsidRDefault="00000000" w:rsidRPr="00000000" w14:paraId="00000018">
      <w:pPr>
        <w:rPr>
          <w:rFonts w:ascii="-webkit-standard" w:cs="-webkit-standard" w:eastAsia="-webkit-standard" w:hAnsi="-webkit-standard"/>
          <w:color w:val="000000"/>
          <w:sz w:val="22"/>
          <w:szCs w:val="22"/>
        </w:rPr>
      </w:pPr>
      <w:r w:rsidDel="00000000" w:rsidR="00000000" w:rsidRPr="00000000">
        <w:rPr>
          <w:color w:val="000000"/>
          <w:sz w:val="22"/>
          <w:szCs w:val="22"/>
          <w:rtl w:val="0"/>
        </w:rPr>
        <w:t xml:space="preserve">Según el Estudio de Prevalencia de las Infecciones Nosocomiales en España (EPINE 2021), las infecciones asociadas a los catéteres representan un 16,2% ocupando el cuarto lugar según su localización.</w:t>
      </w:r>
      <w:r w:rsidDel="00000000" w:rsidR="00000000" w:rsidRPr="00000000">
        <w:rPr>
          <w:color w:val="000000"/>
          <w:sz w:val="22"/>
          <w:szCs w:val="22"/>
          <w:vertAlign w:val="superscript"/>
          <w:rtl w:val="0"/>
        </w:rPr>
        <w:t xml:space="preserve">8 </w:t>
      </w:r>
      <w:r w:rsidDel="00000000" w:rsidR="00000000" w:rsidRPr="00000000">
        <w:rPr>
          <w:color w:val="000000"/>
          <w:sz w:val="22"/>
          <w:szCs w:val="22"/>
          <w:rtl w:val="0"/>
        </w:rPr>
        <w:t xml:space="preserve">El EPINE del 201</w:t>
      </w:r>
      <w:r w:rsidDel="00000000" w:rsidR="00000000" w:rsidRPr="00000000">
        <w:rPr>
          <w:color w:val="000000"/>
          <w:rtl w:val="0"/>
        </w:rPr>
        <w:t xml:space="preserve">7 </w:t>
      </w:r>
      <w:r w:rsidDel="00000000" w:rsidR="00000000" w:rsidRPr="00000000">
        <w:rPr>
          <w:color w:val="000000"/>
          <w:sz w:val="22"/>
          <w:szCs w:val="22"/>
          <w:rtl w:val="0"/>
        </w:rPr>
        <w:t xml:space="preserve">estima que el 72,83% de los pacientes hospitalizados es portador de un CVP y el 10,41% es portador de un catéter venoso central (CVC).</w:t>
      </w:r>
      <w:r w:rsidDel="00000000" w:rsidR="00000000" w:rsidRPr="00000000">
        <w:rPr>
          <w:color w:val="000000"/>
          <w:sz w:val="22"/>
          <w:szCs w:val="22"/>
          <w:vertAlign w:val="superscript"/>
          <w:rtl w:val="0"/>
        </w:rPr>
        <w:t xml:space="preserve">1,9,10 </w:t>
      </w:r>
      <w:r w:rsidDel="00000000" w:rsidR="00000000" w:rsidRPr="00000000">
        <w:rPr>
          <w:color w:val="000000"/>
          <w:sz w:val="22"/>
          <w:szCs w:val="22"/>
          <w:rtl w:val="0"/>
        </w:rPr>
        <w:t xml:space="preserve">Estos datos revelan una realidad que muchas veces pasa inadvertida. No por ser una técnica habitual y de acceso periférico comparada con la de un CVC está exenta de riesgo, sus complicaciones incrementan el sufrimiento del paciente y el impacto del gasto sanitario.</w:t>
      </w:r>
      <w:r w:rsidDel="00000000" w:rsidR="00000000" w:rsidRPr="00000000">
        <w:rPr>
          <w:rtl w:val="0"/>
        </w:rPr>
      </w:r>
    </w:p>
    <w:p w:rsidR="00000000" w:rsidDel="00000000" w:rsidP="00000000" w:rsidRDefault="00000000" w:rsidRPr="00000000" w14:paraId="00000019">
      <w:pPr>
        <w:rPr>
          <w:rFonts w:ascii="-webkit-standard" w:cs="-webkit-standard" w:eastAsia="-webkit-standard" w:hAnsi="-webkit-standard"/>
          <w:color w:val="000000"/>
          <w:sz w:val="22"/>
          <w:szCs w:val="22"/>
        </w:rPr>
      </w:pPr>
      <w:r w:rsidDel="00000000" w:rsidR="00000000" w:rsidRPr="00000000">
        <w:rPr>
          <w:rtl w:val="0"/>
        </w:rPr>
      </w:r>
    </w:p>
    <w:p w:rsidR="00000000" w:rsidDel="00000000" w:rsidP="00000000" w:rsidRDefault="00000000" w:rsidRPr="00000000" w14:paraId="0000001A">
      <w:pPr>
        <w:rPr>
          <w:color w:val="000000"/>
          <w:sz w:val="22"/>
          <w:szCs w:val="22"/>
          <w:vertAlign w:val="superscript"/>
        </w:rPr>
      </w:pPr>
      <w:r w:rsidDel="00000000" w:rsidR="00000000" w:rsidRPr="00000000">
        <w:rPr>
          <w:color w:val="000000"/>
          <w:sz w:val="22"/>
          <w:szCs w:val="22"/>
          <w:rtl w:val="0"/>
        </w:rPr>
        <w:t xml:space="preserve">Los factores implicados en el desarrollo de flebitis pueden estar relacionados con las características del paciente, del catéter o con la indicación médica. Se atribuyen al paciente factores sociodemográficos como el sexo, la edad, estilos de vida y enfermedades asociadas. Se consideran factores de riesgo atribuidos al catéter, el calibre, ancho, longitud y material de este, el sitio de inserción, tiempo de permanencia, uso de complementos como alargaderas, tapones o bombas de infusión. También se detallan factores como el turno de trabajo y la unidad en la que se realiza el procedimiento de inserción y la experiencia de los profesionales.</w:t>
      </w:r>
      <w:r w:rsidDel="00000000" w:rsidR="00000000" w:rsidRPr="00000000">
        <w:rPr>
          <w:color w:val="000000"/>
          <w:sz w:val="22"/>
          <w:szCs w:val="22"/>
          <w:vertAlign w:val="superscript"/>
          <w:rtl w:val="0"/>
        </w:rPr>
        <w:t xml:space="preserve">3,5,11 </w:t>
      </w:r>
    </w:p>
    <w:p w:rsidR="00000000" w:rsidDel="00000000" w:rsidP="00000000" w:rsidRDefault="00000000" w:rsidRPr="00000000" w14:paraId="0000001B">
      <w:pPr>
        <w:rPr>
          <w:color w:val="000000"/>
          <w:sz w:val="22"/>
          <w:szCs w:val="22"/>
        </w:rPr>
      </w:pPr>
      <w:r w:rsidDel="00000000" w:rsidR="00000000" w:rsidRPr="00000000">
        <w:rPr>
          <w:color w:val="000000"/>
          <w:sz w:val="22"/>
          <w:szCs w:val="22"/>
          <w:rtl w:val="0"/>
        </w:rPr>
        <w:t xml:space="preserve">Respecto a los factores relacionados con la medicación, la literatura destaca aspectos como las características intrínsecas del fármaco como el pH y la osmolaridad, la velocidad de infusión, el tipo y la duración del tratamiento.</w:t>
      </w:r>
      <w:r w:rsidDel="00000000" w:rsidR="00000000" w:rsidRPr="00000000">
        <w:rPr>
          <w:color w:val="000000"/>
          <w:sz w:val="22"/>
          <w:szCs w:val="22"/>
          <w:vertAlign w:val="superscript"/>
          <w:rtl w:val="0"/>
        </w:rPr>
        <w:t xml:space="preserve">5,12</w:t>
      </w:r>
      <w:r w:rsidDel="00000000" w:rsidR="00000000" w:rsidRPr="00000000">
        <w:rPr>
          <w:rtl w:val="0"/>
        </w:rPr>
      </w:r>
    </w:p>
    <w:p w:rsidR="00000000" w:rsidDel="00000000" w:rsidP="00000000" w:rsidRDefault="00000000" w:rsidRPr="00000000" w14:paraId="0000001C">
      <w:pPr>
        <w:rPr>
          <w:rFonts w:ascii="-webkit-standard" w:cs="-webkit-standard" w:eastAsia="-webkit-standard" w:hAnsi="-webkit-standard"/>
          <w:color w:val="000000"/>
          <w:sz w:val="22"/>
          <w:szCs w:val="22"/>
        </w:rPr>
      </w:pPr>
      <w:r w:rsidDel="00000000" w:rsidR="00000000" w:rsidRPr="00000000">
        <w:rPr>
          <w:rtl w:val="0"/>
        </w:rPr>
      </w:r>
    </w:p>
    <w:p w:rsidR="00000000" w:rsidDel="00000000" w:rsidP="00000000" w:rsidRDefault="00000000" w:rsidRPr="00000000" w14:paraId="0000001D">
      <w:pPr>
        <w:rPr>
          <w:rFonts w:ascii="-webkit-standard" w:cs="-webkit-standard" w:eastAsia="-webkit-standard" w:hAnsi="-webkit-standard"/>
          <w:color w:val="000000"/>
          <w:sz w:val="22"/>
          <w:szCs w:val="22"/>
        </w:rPr>
      </w:pPr>
      <w:r w:rsidDel="00000000" w:rsidR="00000000" w:rsidRPr="00000000">
        <w:rPr>
          <w:color w:val="000000"/>
          <w:sz w:val="22"/>
          <w:szCs w:val="22"/>
          <w:rtl w:val="0"/>
        </w:rPr>
        <w:t xml:space="preserve">En relación con la</w:t>
      </w:r>
      <w:r w:rsidDel="00000000" w:rsidR="00000000" w:rsidRPr="00000000">
        <w:rPr>
          <w:rFonts w:ascii="-webkit-standard" w:cs="-webkit-standard" w:eastAsia="-webkit-standard" w:hAnsi="-webkit-standard"/>
          <w:color w:val="000000"/>
          <w:sz w:val="22"/>
          <w:szCs w:val="22"/>
          <w:rtl w:val="0"/>
        </w:rPr>
        <w:t xml:space="preserve"> </w:t>
      </w:r>
      <w:r w:rsidDel="00000000" w:rsidR="00000000" w:rsidRPr="00000000">
        <w:rPr>
          <w:color w:val="000000"/>
          <w:sz w:val="22"/>
          <w:szCs w:val="22"/>
          <w:rtl w:val="0"/>
        </w:rPr>
        <w:t xml:space="preserve">terapia intravenosa, la Food Drug Administration de EE. UU. describe 250 tipos de complicaciones diferentes que se atribuyen fundamentalmente a la variabilidad en los criterios de indicación, de mantenimiento y de sustitución del catéter, así como a las medidas de higiene o la preparación de la zona de punción.</w:t>
      </w:r>
      <w:r w:rsidDel="00000000" w:rsidR="00000000" w:rsidRPr="00000000">
        <w:rPr>
          <w:color w:val="000000"/>
          <w:sz w:val="22"/>
          <w:szCs w:val="22"/>
          <w:vertAlign w:val="superscript"/>
          <w:rtl w:val="0"/>
        </w:rPr>
        <w:t xml:space="preserve">13</w:t>
      </w:r>
      <w:r w:rsidDel="00000000" w:rsidR="00000000" w:rsidRPr="00000000">
        <w:rPr>
          <w:rtl w:val="0"/>
        </w:rPr>
      </w:r>
    </w:p>
    <w:p w:rsidR="00000000" w:rsidDel="00000000" w:rsidP="00000000" w:rsidRDefault="00000000" w:rsidRPr="00000000" w14:paraId="0000001E">
      <w:pPr>
        <w:rPr>
          <w:rFonts w:ascii="-webkit-standard" w:cs="-webkit-standard" w:eastAsia="-webkit-standard" w:hAnsi="-webkit-standard"/>
          <w:color w:val="000000"/>
          <w:sz w:val="22"/>
          <w:szCs w:val="22"/>
        </w:rPr>
      </w:pPr>
      <w:r w:rsidDel="00000000" w:rsidR="00000000" w:rsidRPr="00000000">
        <w:rPr>
          <w:rtl w:val="0"/>
        </w:rPr>
      </w:r>
    </w:p>
    <w:p w:rsidR="00000000" w:rsidDel="00000000" w:rsidP="00000000" w:rsidRDefault="00000000" w:rsidRPr="00000000" w14:paraId="0000001F">
      <w:pPr>
        <w:rPr>
          <w:color w:val="000000"/>
          <w:sz w:val="22"/>
          <w:szCs w:val="22"/>
        </w:rPr>
      </w:pPr>
      <w:r w:rsidDel="00000000" w:rsidR="00000000" w:rsidRPr="00000000">
        <w:rPr>
          <w:color w:val="000000"/>
          <w:sz w:val="22"/>
          <w:szCs w:val="22"/>
          <w:rtl w:val="0"/>
        </w:rPr>
        <w:t xml:space="preserve">Según define la Organización Mundial de la Salud (OMS), todo incidente que produce daño a un paciente, debe considerarse evento adverso (EA).</w:t>
      </w:r>
      <w:r w:rsidDel="00000000" w:rsidR="00000000" w:rsidRPr="00000000">
        <w:rPr>
          <w:color w:val="000000"/>
          <w:sz w:val="22"/>
          <w:szCs w:val="22"/>
          <w:vertAlign w:val="superscript"/>
          <w:rtl w:val="0"/>
        </w:rPr>
        <w:t xml:space="preserve">6,14</w:t>
      </w:r>
      <w:r w:rsidDel="00000000" w:rsidR="00000000" w:rsidRPr="00000000">
        <w:rPr>
          <w:color w:val="000000"/>
          <w:sz w:val="22"/>
          <w:szCs w:val="22"/>
          <w:rtl w:val="0"/>
        </w:rPr>
        <w:t xml:space="preserve"> En este sentido, la flebitis puede constituir un EA que las enfermeras deben prevenir, ofreciendo cuidados de calidad centrados en la seguridad del paciente.</w:t>
      </w:r>
      <w:r w:rsidDel="00000000" w:rsidR="00000000" w:rsidRPr="00000000">
        <w:rPr>
          <w:color w:val="000000"/>
          <w:sz w:val="22"/>
          <w:szCs w:val="22"/>
          <w:vertAlign w:val="superscript"/>
          <w:rtl w:val="0"/>
        </w:rPr>
        <w:t xml:space="preserve">12,15</w:t>
      </w:r>
      <w:r w:rsidDel="00000000" w:rsidR="00000000" w:rsidRPr="00000000">
        <w:rPr>
          <w:color w:val="000000"/>
          <w:sz w:val="22"/>
          <w:szCs w:val="22"/>
          <w:rtl w:val="0"/>
        </w:rPr>
        <w:t xml:space="preserve"> Conocer las variables epidemiológicas que determinan el riesgo y estandarizar la práctica clínica en la inserción y el cuidado del CVP según el nivel de evidencia científica que ofrecen las guías, es prioritario.</w:t>
      </w:r>
      <w:r w:rsidDel="00000000" w:rsidR="00000000" w:rsidRPr="00000000">
        <w:rPr>
          <w:color w:val="000000"/>
          <w:sz w:val="22"/>
          <w:szCs w:val="22"/>
          <w:vertAlign w:val="superscript"/>
          <w:rtl w:val="0"/>
        </w:rPr>
        <w:t xml:space="preserve">12,15,16</w:t>
      </w:r>
      <w:r w:rsidDel="00000000" w:rsidR="00000000" w:rsidRPr="00000000">
        <w:rPr>
          <w:rtl w:val="0"/>
        </w:rPr>
      </w:r>
    </w:p>
    <w:p w:rsidR="00000000" w:rsidDel="00000000" w:rsidP="00000000" w:rsidRDefault="00000000" w:rsidRPr="00000000" w14:paraId="00000020">
      <w:pPr>
        <w:rPr>
          <w:rFonts w:ascii="-webkit-standard" w:cs="-webkit-standard" w:eastAsia="-webkit-standard" w:hAnsi="-webkit-standard"/>
          <w:color w:val="000000"/>
          <w:sz w:val="22"/>
          <w:szCs w:val="22"/>
        </w:rPr>
      </w:pPr>
      <w:r w:rsidDel="00000000" w:rsidR="00000000" w:rsidRPr="00000000">
        <w:rPr>
          <w:rtl w:val="0"/>
        </w:rPr>
      </w:r>
    </w:p>
    <w:p w:rsidR="00000000" w:rsidDel="00000000" w:rsidP="00000000" w:rsidRDefault="00000000" w:rsidRPr="00000000" w14:paraId="00000021">
      <w:pPr>
        <w:rPr>
          <w:color w:val="000000"/>
          <w:sz w:val="22"/>
          <w:szCs w:val="22"/>
        </w:rPr>
      </w:pPr>
      <w:r w:rsidDel="00000000" w:rsidR="00000000" w:rsidRPr="00000000">
        <w:rPr>
          <w:color w:val="000000"/>
          <w:sz w:val="22"/>
          <w:szCs w:val="22"/>
          <w:rtl w:val="0"/>
        </w:rPr>
        <w:t xml:space="preserve">Este estudio tiene como objetivo, determinar la incidencia de flebitis en pacientes adultos sometidos a cirugía programada en el hospital Asepeyo de Coslada, con la finalidad de conocer la situación basal y poder implementar mejoras en la práctica clínica.</w:t>
      </w:r>
    </w:p>
    <w:p w:rsidR="00000000" w:rsidDel="00000000" w:rsidP="00000000" w:rsidRDefault="00000000" w:rsidRPr="00000000" w14:paraId="00000022">
      <w:pPr>
        <w:ind w:left="142" w:firstLine="0"/>
        <w:rPr>
          <w:rFonts w:ascii="-webkit-standard" w:cs="-webkit-standard" w:eastAsia="-webkit-standard" w:hAnsi="-webkit-standard"/>
          <w:color w:val="000000"/>
          <w:sz w:val="22"/>
          <w:szCs w:val="22"/>
        </w:rPr>
      </w:pPr>
      <w:r w:rsidDel="00000000" w:rsidR="00000000" w:rsidRPr="00000000">
        <w:rPr>
          <w:rtl w:val="0"/>
        </w:rPr>
      </w:r>
    </w:p>
    <w:p w:rsidR="00000000" w:rsidDel="00000000" w:rsidP="00000000" w:rsidRDefault="00000000" w:rsidRPr="00000000" w14:paraId="00000023">
      <w:pPr>
        <w:spacing w:after="240" w:lineRule="auto"/>
        <w:rPr>
          <w:color w:val="000000"/>
          <w:sz w:val="22"/>
          <w:szCs w:val="22"/>
        </w:rPr>
      </w:pPr>
      <w:r w:rsidDel="00000000" w:rsidR="00000000" w:rsidRPr="00000000">
        <w:rPr>
          <w:rFonts w:ascii="-webkit-standard" w:cs="-webkit-standard" w:eastAsia="-webkit-standard" w:hAnsi="-webkit-standard"/>
          <w:color w:val="000000"/>
          <w:sz w:val="22"/>
          <w:szCs w:val="22"/>
          <w:rtl w:val="0"/>
        </w:rPr>
        <w:br w:type="textWrapping"/>
      </w:r>
      <w:r w:rsidDel="00000000" w:rsidR="00000000" w:rsidRPr="00000000">
        <w:rPr>
          <w:color w:val="000000"/>
          <w:sz w:val="22"/>
          <w:szCs w:val="22"/>
          <w:rtl w:val="0"/>
        </w:rPr>
        <w:t xml:space="preserve">METODOLOGÍA.</w:t>
      </w:r>
    </w:p>
    <w:p w:rsidR="00000000" w:rsidDel="00000000" w:rsidP="00000000" w:rsidRDefault="00000000" w:rsidRPr="00000000" w14:paraId="00000024">
      <w:pPr>
        <w:spacing w:after="240" w:lineRule="auto"/>
        <w:rPr>
          <w:color w:val="000000"/>
          <w:sz w:val="22"/>
          <w:szCs w:val="22"/>
        </w:rPr>
      </w:pPr>
      <w:r w:rsidDel="00000000" w:rsidR="00000000" w:rsidRPr="00000000">
        <w:rPr>
          <w:color w:val="000000"/>
          <w:sz w:val="22"/>
          <w:szCs w:val="22"/>
          <w:rtl w:val="0"/>
        </w:rPr>
        <w:t xml:space="preserve">Estudio observacional y descriptivo.</w:t>
      </w:r>
    </w:p>
    <w:p w:rsidR="00000000" w:rsidDel="00000000" w:rsidP="00000000" w:rsidRDefault="00000000" w:rsidRPr="00000000" w14:paraId="00000025">
      <w:pPr>
        <w:ind w:right="276"/>
        <w:rPr>
          <w:color w:val="000000"/>
          <w:sz w:val="22"/>
          <w:szCs w:val="22"/>
        </w:rPr>
      </w:pPr>
      <w:r w:rsidDel="00000000" w:rsidR="00000000" w:rsidRPr="00000000">
        <w:rPr>
          <w:color w:val="000000"/>
          <w:sz w:val="22"/>
          <w:szCs w:val="22"/>
          <w:rtl w:val="0"/>
        </w:rPr>
        <w:t xml:space="preserve">La muestra de estudio fue de tipo no probabilístico, con inclusión secuencial de 171 pacientes que ingresaron en el hospital Asepeyo de Coslada (Madrid), para cirugía programada (traumatología, cirugía plástica, otorrinolaringología (OTL), maxilofacial, urología y unidad del dolor), durante un período de dos semanas.  </w:t>
      </w:r>
    </w:p>
    <w:p w:rsidR="00000000" w:rsidDel="00000000" w:rsidP="00000000" w:rsidRDefault="00000000" w:rsidRPr="00000000" w14:paraId="00000026">
      <w:pPr>
        <w:rPr>
          <w:color w:val="000000"/>
          <w:sz w:val="22"/>
          <w:szCs w:val="22"/>
        </w:rPr>
      </w:pPr>
      <w:r w:rsidDel="00000000" w:rsidR="00000000" w:rsidRPr="00000000">
        <w:rPr>
          <w:rtl w:val="0"/>
        </w:rPr>
      </w:r>
    </w:p>
    <w:p w:rsidR="00000000" w:rsidDel="00000000" w:rsidP="00000000" w:rsidRDefault="00000000" w:rsidRPr="00000000" w14:paraId="00000027">
      <w:pPr>
        <w:ind w:right="276"/>
        <w:rPr>
          <w:color w:val="000000"/>
          <w:sz w:val="22"/>
          <w:szCs w:val="22"/>
        </w:rPr>
      </w:pPr>
      <w:r w:rsidDel="00000000" w:rsidR="00000000" w:rsidRPr="00000000">
        <w:rPr>
          <w:color w:val="000000"/>
          <w:sz w:val="22"/>
          <w:szCs w:val="22"/>
          <w:rtl w:val="0"/>
        </w:rPr>
        <w:t xml:space="preserve">Los criterios de inclusión fueron los siguientes: edad &gt; o = a 18 años, ingreso hospitalario para cirugía programada y necesitaron uno o más CVP.  Se consideraron criterios de exclusión: intervenciones quirúrgicas de urgencia o canalización del CVP en otro servicio que no fuera el bloque quirúrgico.</w:t>
      </w:r>
    </w:p>
    <w:p w:rsidR="00000000" w:rsidDel="00000000" w:rsidP="00000000" w:rsidRDefault="00000000" w:rsidRPr="00000000" w14:paraId="00000028">
      <w:pPr>
        <w:rPr>
          <w:color w:val="000000"/>
          <w:sz w:val="22"/>
          <w:szCs w:val="22"/>
        </w:rPr>
      </w:pPr>
      <w:r w:rsidDel="00000000" w:rsidR="00000000" w:rsidRPr="00000000">
        <w:rPr>
          <w:rtl w:val="0"/>
        </w:rPr>
      </w:r>
    </w:p>
    <w:p w:rsidR="00000000" w:rsidDel="00000000" w:rsidP="00000000" w:rsidRDefault="00000000" w:rsidRPr="00000000" w14:paraId="00000029">
      <w:pPr>
        <w:ind w:right="276"/>
        <w:rPr>
          <w:color w:val="000000"/>
          <w:sz w:val="22"/>
          <w:szCs w:val="22"/>
        </w:rPr>
      </w:pPr>
      <w:r w:rsidDel="00000000" w:rsidR="00000000" w:rsidRPr="00000000">
        <w:rPr>
          <w:color w:val="000000"/>
          <w:sz w:val="22"/>
          <w:szCs w:val="22"/>
          <w:rtl w:val="0"/>
        </w:rPr>
        <w:t xml:space="preserve">Los catéteres fueron insertados por enfermeras del bloque quirúrgico, según técnica de cada profesional. Se realizó el seguimiento de cada caso, desde la inserción del catéter hasta su retirada con la finalidad de monitorizar la aparición de flebitis, variable principal de este estudio. </w:t>
      </w:r>
    </w:p>
    <w:p w:rsidR="00000000" w:rsidDel="00000000" w:rsidP="00000000" w:rsidRDefault="00000000" w:rsidRPr="00000000" w14:paraId="0000002A">
      <w:pPr>
        <w:ind w:right="276"/>
        <w:rPr>
          <w:color w:val="000000"/>
          <w:sz w:val="22"/>
          <w:szCs w:val="22"/>
        </w:rPr>
      </w:pPr>
      <w:r w:rsidDel="00000000" w:rsidR="00000000" w:rsidRPr="00000000">
        <w:rPr>
          <w:rtl w:val="0"/>
        </w:rPr>
      </w:r>
    </w:p>
    <w:p w:rsidR="00000000" w:rsidDel="00000000" w:rsidP="00000000" w:rsidRDefault="00000000" w:rsidRPr="00000000" w14:paraId="0000002B">
      <w:pPr>
        <w:ind w:right="276"/>
        <w:rPr>
          <w:color w:val="000000"/>
          <w:sz w:val="22"/>
          <w:szCs w:val="22"/>
        </w:rPr>
      </w:pPr>
      <w:r w:rsidDel="00000000" w:rsidR="00000000" w:rsidRPr="00000000">
        <w:rPr>
          <w:color w:val="000000"/>
          <w:sz w:val="22"/>
          <w:szCs w:val="22"/>
          <w:rtl w:val="0"/>
        </w:rPr>
        <w:t xml:space="preserve">El instrumento utilizado fue la escala visual de valoración de flebitis (</w:t>
      </w:r>
      <w:r w:rsidDel="00000000" w:rsidR="00000000" w:rsidRPr="00000000">
        <w:rPr>
          <w:sz w:val="22"/>
          <w:szCs w:val="22"/>
          <w:rtl w:val="0"/>
        </w:rPr>
        <w:t xml:space="preserve">Figura 1</w:t>
      </w:r>
      <w:r w:rsidDel="00000000" w:rsidR="00000000" w:rsidRPr="00000000">
        <w:rPr>
          <w:color w:val="000000"/>
          <w:sz w:val="22"/>
          <w:szCs w:val="22"/>
          <w:rtl w:val="0"/>
        </w:rPr>
        <w:t xml:space="preserve">), creada por Jackson y basada en la escala Maddox, con valores numéricos del 0 al 5. Esta escala fue adaptada y validada por Schultz and Gallant.</w:t>
      </w:r>
      <w:r w:rsidDel="00000000" w:rsidR="00000000" w:rsidRPr="00000000">
        <w:rPr>
          <w:color w:val="000000"/>
          <w:sz w:val="22"/>
          <w:szCs w:val="22"/>
          <w:vertAlign w:val="superscript"/>
          <w:rtl w:val="0"/>
        </w:rPr>
        <w:t xml:space="preserve">3</w:t>
      </w:r>
      <w:r w:rsidDel="00000000" w:rsidR="00000000" w:rsidRPr="00000000">
        <w:rPr>
          <w:color w:val="000000"/>
          <w:sz w:val="22"/>
          <w:szCs w:val="22"/>
          <w:rtl w:val="0"/>
        </w:rPr>
        <w:t xml:space="preserve"> Actualmente es una herramienta fuertemente validada y la de mayor consenso en la valoración de flebitis. Define y describe, desde la ausencia de flebitis que corresponde al valor numérico 0, la posibilidad de presentar signos de flebitis con el valor numérico 1 y el inicio de flebitis a partir del valor numérico 2 hasta el 5. Cada nivel describe determinados signos y/o síntomas y su respectiva recomendación.</w:t>
      </w:r>
      <w:r w:rsidDel="00000000" w:rsidR="00000000" w:rsidRPr="00000000">
        <w:rPr>
          <w:color w:val="000000"/>
          <w:sz w:val="22"/>
          <w:szCs w:val="22"/>
          <w:vertAlign w:val="superscript"/>
          <w:rtl w:val="0"/>
        </w:rPr>
        <w:t xml:space="preserve">3,16 </w:t>
      </w:r>
      <w:r w:rsidDel="00000000" w:rsidR="00000000" w:rsidRPr="00000000">
        <w:rPr>
          <w:color w:val="000000"/>
          <w:sz w:val="22"/>
          <w:szCs w:val="22"/>
          <w:rtl w:val="0"/>
        </w:rPr>
        <w:t xml:space="preserve">Este estudio considera flebitis en sentido estricto a partir del nivel 2.</w:t>
      </w:r>
    </w:p>
    <w:p w:rsidR="00000000" w:rsidDel="00000000" w:rsidP="00000000" w:rsidRDefault="00000000" w:rsidRPr="00000000" w14:paraId="0000002C">
      <w:pPr>
        <w:rPr>
          <w:color w:val="000000"/>
          <w:sz w:val="22"/>
          <w:szCs w:val="22"/>
        </w:rPr>
      </w:pPr>
      <w:r w:rsidDel="00000000" w:rsidR="00000000" w:rsidRPr="00000000">
        <w:rPr>
          <w:rtl w:val="0"/>
        </w:rPr>
      </w:r>
    </w:p>
    <w:p w:rsidR="00000000" w:rsidDel="00000000" w:rsidP="00000000" w:rsidRDefault="00000000" w:rsidRPr="00000000" w14:paraId="0000002D">
      <w:pPr>
        <w:ind w:right="276"/>
        <w:rPr>
          <w:color w:val="000000"/>
          <w:sz w:val="22"/>
          <w:szCs w:val="22"/>
        </w:rPr>
      </w:pPr>
      <w:r w:rsidDel="00000000" w:rsidR="00000000" w:rsidRPr="00000000">
        <w:rPr>
          <w:color w:val="000000"/>
          <w:sz w:val="22"/>
          <w:szCs w:val="22"/>
          <w:rtl w:val="0"/>
        </w:rPr>
        <w:t xml:space="preserve">Para facilitar el registro de la valoración de flebitis por las enfermeras, se comunicó oportunamente la finalidad del estudio a todos los supervisores para que informaran al personal de cada turno (mañana, tarde y noche) sobre el nuevo método de registro en la historia clínica según la Clasificación de Intervenciones de Enfermería (NIC) de acuerdo con la taxonomía NANDA.</w:t>
      </w:r>
      <w:r w:rsidDel="00000000" w:rsidR="00000000" w:rsidRPr="00000000">
        <w:rPr>
          <w:color w:val="000000"/>
          <w:sz w:val="22"/>
          <w:szCs w:val="22"/>
          <w:vertAlign w:val="superscript"/>
          <w:rtl w:val="0"/>
        </w:rPr>
        <w:t xml:space="preserve">17</w:t>
      </w:r>
      <w:r w:rsidDel="00000000" w:rsidR="00000000" w:rsidRPr="00000000">
        <w:rPr>
          <w:rtl w:val="0"/>
        </w:rPr>
      </w:r>
    </w:p>
    <w:p w:rsidR="00000000" w:rsidDel="00000000" w:rsidP="00000000" w:rsidRDefault="00000000" w:rsidRPr="00000000" w14:paraId="0000002E">
      <w:pPr>
        <w:ind w:right="276"/>
        <w:rPr>
          <w:color w:val="000000"/>
          <w:sz w:val="22"/>
          <w:szCs w:val="22"/>
        </w:rPr>
      </w:pPr>
      <w:r w:rsidDel="00000000" w:rsidR="00000000" w:rsidRPr="00000000">
        <w:rPr>
          <w:rtl w:val="0"/>
        </w:rPr>
      </w:r>
    </w:p>
    <w:p w:rsidR="00000000" w:rsidDel="00000000" w:rsidP="00000000" w:rsidRDefault="00000000" w:rsidRPr="00000000" w14:paraId="0000002F">
      <w:pPr>
        <w:ind w:right="276"/>
        <w:rPr>
          <w:color w:val="000000"/>
          <w:sz w:val="22"/>
          <w:szCs w:val="22"/>
        </w:rPr>
      </w:pPr>
      <w:r w:rsidDel="00000000" w:rsidR="00000000" w:rsidRPr="00000000">
        <w:rPr>
          <w:color w:val="000000"/>
          <w:sz w:val="22"/>
          <w:szCs w:val="22"/>
          <w:rtl w:val="0"/>
        </w:rPr>
        <w:t xml:space="preserve">La punción intravenosa se registró con el NIC 4190 y en el apartado de “observaciones” del NIC 2440 (mantenimiento de dispositivo de acceso venoso) se realizaron las anotaciones numéricas correspondientes según la escala visual de valoración para la flebitis, para cada paciente y por turno. </w:t>
      </w:r>
    </w:p>
    <w:p w:rsidR="00000000" w:rsidDel="00000000" w:rsidP="00000000" w:rsidRDefault="00000000" w:rsidRPr="00000000" w14:paraId="00000030">
      <w:pPr>
        <w:ind w:right="276"/>
        <w:rPr>
          <w:color w:val="000000"/>
          <w:sz w:val="22"/>
          <w:szCs w:val="22"/>
        </w:rPr>
      </w:pPr>
      <w:r w:rsidDel="00000000" w:rsidR="00000000" w:rsidRPr="00000000">
        <w:rPr>
          <w:rtl w:val="0"/>
        </w:rPr>
      </w:r>
    </w:p>
    <w:p w:rsidR="00000000" w:rsidDel="00000000" w:rsidP="00000000" w:rsidRDefault="00000000" w:rsidRPr="00000000" w14:paraId="00000031">
      <w:pPr>
        <w:ind w:right="276"/>
        <w:rPr>
          <w:color w:val="000000"/>
          <w:sz w:val="22"/>
          <w:szCs w:val="22"/>
        </w:rPr>
      </w:pPr>
      <w:r w:rsidDel="00000000" w:rsidR="00000000" w:rsidRPr="00000000">
        <w:rPr>
          <w:color w:val="000000"/>
          <w:sz w:val="22"/>
          <w:szCs w:val="22"/>
          <w:rtl w:val="0"/>
        </w:rPr>
        <w:t xml:space="preserve">En caso de diagnosticar flebitis, además del registro numérico correspondiente, se especificaron los signos y/o síntomas que presentó el paciente, procediendo a la retirada del CVP. También se registraron los cambios de apósitos o cualquier actividad relacionada con el cuidado del mismo. </w:t>
      </w:r>
    </w:p>
    <w:p w:rsidR="00000000" w:rsidDel="00000000" w:rsidP="00000000" w:rsidRDefault="00000000" w:rsidRPr="00000000" w14:paraId="00000032">
      <w:pPr>
        <w:ind w:right="276"/>
        <w:rPr>
          <w:color w:val="000000"/>
          <w:sz w:val="22"/>
          <w:szCs w:val="22"/>
        </w:rPr>
      </w:pPr>
      <w:r w:rsidDel="00000000" w:rsidR="00000000" w:rsidRPr="00000000">
        <w:rPr>
          <w:rtl w:val="0"/>
        </w:rPr>
      </w:r>
    </w:p>
    <w:p w:rsidR="00000000" w:rsidDel="00000000" w:rsidP="00000000" w:rsidRDefault="00000000" w:rsidRPr="00000000" w14:paraId="00000033">
      <w:pPr>
        <w:ind w:right="276"/>
        <w:rPr>
          <w:color w:val="000000"/>
          <w:sz w:val="22"/>
          <w:szCs w:val="22"/>
        </w:rPr>
      </w:pPr>
      <w:r w:rsidDel="00000000" w:rsidR="00000000" w:rsidRPr="00000000">
        <w:rPr>
          <w:color w:val="000000"/>
          <w:sz w:val="22"/>
          <w:szCs w:val="22"/>
          <w:rtl w:val="0"/>
        </w:rPr>
        <w:t xml:space="preserve">Toda la información se reforzó con la entrega de una hoja que reflejaba las actuaciones necesarias para realizar los registros y una infografía de la escala visual de valoración de flebitis colocándola en lugares visibles como el control de enfermería y los carros de medicación.</w:t>
      </w:r>
    </w:p>
    <w:p w:rsidR="00000000" w:rsidDel="00000000" w:rsidP="00000000" w:rsidRDefault="00000000" w:rsidRPr="00000000" w14:paraId="00000034">
      <w:pPr>
        <w:rPr>
          <w:color w:val="000000"/>
          <w:sz w:val="22"/>
          <w:szCs w:val="22"/>
        </w:rPr>
      </w:pPr>
      <w:r w:rsidDel="00000000" w:rsidR="00000000" w:rsidRPr="00000000">
        <w:rPr>
          <w:rtl w:val="0"/>
        </w:rPr>
      </w:r>
    </w:p>
    <w:p w:rsidR="00000000" w:rsidDel="00000000" w:rsidP="00000000" w:rsidRDefault="00000000" w:rsidRPr="00000000" w14:paraId="00000035">
      <w:pPr>
        <w:ind w:right="276"/>
        <w:rPr>
          <w:color w:val="000000"/>
          <w:sz w:val="22"/>
          <w:szCs w:val="22"/>
        </w:rPr>
      </w:pPr>
      <w:r w:rsidDel="00000000" w:rsidR="00000000" w:rsidRPr="00000000">
        <w:rPr>
          <w:color w:val="000000"/>
          <w:sz w:val="22"/>
          <w:szCs w:val="22"/>
          <w:rtl w:val="0"/>
        </w:rPr>
        <w:t xml:space="preserve">Las variables sociodemográficas (edad, sexo y hábitos tóxicos) y clínicas (enfermedades de base) se recopilaron de las historias clínicas de los pacientes.</w:t>
      </w:r>
    </w:p>
    <w:p w:rsidR="00000000" w:rsidDel="00000000" w:rsidP="00000000" w:rsidRDefault="00000000" w:rsidRPr="00000000" w14:paraId="00000036">
      <w:pPr>
        <w:ind w:right="276"/>
        <w:rPr>
          <w:color w:val="000000"/>
          <w:sz w:val="22"/>
          <w:szCs w:val="22"/>
        </w:rPr>
      </w:pPr>
      <w:r w:rsidDel="00000000" w:rsidR="00000000" w:rsidRPr="00000000">
        <w:rPr>
          <w:rtl w:val="0"/>
        </w:rPr>
      </w:r>
    </w:p>
    <w:p w:rsidR="00000000" w:rsidDel="00000000" w:rsidP="00000000" w:rsidRDefault="00000000" w:rsidRPr="00000000" w14:paraId="00000037">
      <w:pPr>
        <w:ind w:right="276"/>
        <w:rPr>
          <w:color w:val="000000"/>
          <w:sz w:val="22"/>
          <w:szCs w:val="22"/>
        </w:rPr>
      </w:pPr>
      <w:r w:rsidDel="00000000" w:rsidR="00000000" w:rsidRPr="00000000">
        <w:rPr>
          <w:color w:val="000000"/>
          <w:sz w:val="22"/>
          <w:szCs w:val="22"/>
          <w:rtl w:val="0"/>
        </w:rPr>
        <w:t xml:space="preserve">Las variables relativas a la inserción del CVP, (fecha de inserción, calibre, lugar de inserción, tipo de apósito y alargadera) fueron registradas por las enfermeras del bloque quirúrgico. </w:t>
      </w:r>
    </w:p>
    <w:p w:rsidR="00000000" w:rsidDel="00000000" w:rsidP="00000000" w:rsidRDefault="00000000" w:rsidRPr="00000000" w14:paraId="00000038">
      <w:pPr>
        <w:ind w:right="276"/>
        <w:rPr>
          <w:color w:val="000000"/>
          <w:sz w:val="22"/>
          <w:szCs w:val="22"/>
        </w:rPr>
      </w:pPr>
      <w:r w:rsidDel="00000000" w:rsidR="00000000" w:rsidRPr="00000000">
        <w:rPr>
          <w:rtl w:val="0"/>
        </w:rPr>
      </w:r>
    </w:p>
    <w:p w:rsidR="00000000" w:rsidDel="00000000" w:rsidP="00000000" w:rsidRDefault="00000000" w:rsidRPr="00000000" w14:paraId="00000039">
      <w:pPr>
        <w:ind w:right="276"/>
        <w:rPr>
          <w:color w:val="000000"/>
          <w:sz w:val="22"/>
          <w:szCs w:val="22"/>
        </w:rPr>
      </w:pPr>
      <w:r w:rsidDel="00000000" w:rsidR="00000000" w:rsidRPr="00000000">
        <w:rPr>
          <w:color w:val="000000"/>
          <w:sz w:val="22"/>
          <w:szCs w:val="22"/>
          <w:rtl w:val="0"/>
        </w:rPr>
        <w:t xml:space="preserve">Las variables relacionadas con la vigilancia del CVP y la detección precoz de flebitis como el motivo de retirada del CVP, fueron registradas por las enfermeras de la unidad de recuperación </w:t>
      </w:r>
      <w:r w:rsidDel="00000000" w:rsidR="00000000" w:rsidRPr="00000000">
        <w:rPr>
          <w:sz w:val="22"/>
          <w:szCs w:val="22"/>
          <w:rtl w:val="0"/>
        </w:rPr>
        <w:t xml:space="preserve">postanestésica</w:t>
      </w:r>
      <w:r w:rsidDel="00000000" w:rsidR="00000000" w:rsidRPr="00000000">
        <w:rPr>
          <w:color w:val="000000"/>
          <w:sz w:val="22"/>
          <w:szCs w:val="22"/>
          <w:rtl w:val="0"/>
        </w:rPr>
        <w:t xml:space="preserve"> y de las unidades de hospitalización en la hoja de Proceso de Atención de Enfermería (PAE), con el NIC correspondiente, en el sistema informático de la institución (CHAMAN).</w:t>
      </w:r>
    </w:p>
    <w:p w:rsidR="00000000" w:rsidDel="00000000" w:rsidP="00000000" w:rsidRDefault="00000000" w:rsidRPr="00000000" w14:paraId="0000003A">
      <w:pPr>
        <w:rPr>
          <w:color w:val="000000"/>
          <w:sz w:val="22"/>
          <w:szCs w:val="22"/>
        </w:rPr>
      </w:pPr>
      <w:r w:rsidDel="00000000" w:rsidR="00000000" w:rsidRPr="00000000">
        <w:rPr>
          <w:rtl w:val="0"/>
        </w:rPr>
      </w:r>
    </w:p>
    <w:p w:rsidR="00000000" w:rsidDel="00000000" w:rsidP="00000000" w:rsidRDefault="00000000" w:rsidRPr="00000000" w14:paraId="0000003B">
      <w:pPr>
        <w:ind w:right="276"/>
        <w:rPr>
          <w:color w:val="000000"/>
          <w:sz w:val="22"/>
          <w:szCs w:val="22"/>
        </w:rPr>
      </w:pPr>
      <w:r w:rsidDel="00000000" w:rsidR="00000000" w:rsidRPr="00000000">
        <w:rPr>
          <w:color w:val="000000"/>
          <w:sz w:val="22"/>
          <w:szCs w:val="22"/>
          <w:rtl w:val="0"/>
        </w:rPr>
        <w:t xml:space="preserve">Cada inserción de CVP fue analizada individualmente, como un caso nuevo. En el último día determinado para el estudio hubo pacientes con terapia intravenosa. Con el objetivo de evaluar todo el período de permanencia de los CVP, estos pacientes fueron evaluados hasta la retirada del mismo.</w:t>
      </w:r>
    </w:p>
    <w:p w:rsidR="00000000" w:rsidDel="00000000" w:rsidP="00000000" w:rsidRDefault="00000000" w:rsidRPr="00000000" w14:paraId="0000003C">
      <w:pPr>
        <w:rPr>
          <w:color w:val="000000"/>
          <w:sz w:val="22"/>
          <w:szCs w:val="22"/>
        </w:rPr>
      </w:pPr>
      <w:r w:rsidDel="00000000" w:rsidR="00000000" w:rsidRPr="00000000">
        <w:rPr>
          <w:rtl w:val="0"/>
        </w:rPr>
      </w:r>
    </w:p>
    <w:p w:rsidR="00000000" w:rsidDel="00000000" w:rsidP="00000000" w:rsidRDefault="00000000" w:rsidRPr="00000000" w14:paraId="0000003D">
      <w:pPr>
        <w:ind w:right="276"/>
        <w:rPr>
          <w:color w:val="000000"/>
          <w:sz w:val="22"/>
          <w:szCs w:val="22"/>
        </w:rPr>
      </w:pPr>
      <w:r w:rsidDel="00000000" w:rsidR="00000000" w:rsidRPr="00000000">
        <w:rPr>
          <w:color w:val="000000"/>
          <w:sz w:val="22"/>
          <w:szCs w:val="22"/>
          <w:rtl w:val="0"/>
        </w:rPr>
        <w:t xml:space="preserve">Los investigadores realizaron la recopilación de datos para las variables correspondientes en una hoja de cálculo Excel previamente diseñada para tal fin y posteriormente fueron revisados de manera aleatoria por tres componentes del grupo de trabajo confirmando la idoneidad de los mismos.</w:t>
      </w:r>
    </w:p>
    <w:p w:rsidR="00000000" w:rsidDel="00000000" w:rsidP="00000000" w:rsidRDefault="00000000" w:rsidRPr="00000000" w14:paraId="0000003E">
      <w:pPr>
        <w:ind w:right="276"/>
        <w:rPr>
          <w:color w:val="000000"/>
          <w:sz w:val="22"/>
          <w:szCs w:val="22"/>
        </w:rPr>
      </w:pPr>
      <w:r w:rsidDel="00000000" w:rsidR="00000000" w:rsidRPr="00000000">
        <w:rPr>
          <w:rtl w:val="0"/>
        </w:rPr>
      </w:r>
    </w:p>
    <w:p w:rsidR="00000000" w:rsidDel="00000000" w:rsidP="00000000" w:rsidRDefault="00000000" w:rsidRPr="00000000" w14:paraId="0000003F">
      <w:pPr>
        <w:ind w:right="276"/>
        <w:rPr>
          <w:color w:val="000000"/>
          <w:sz w:val="22"/>
          <w:szCs w:val="22"/>
        </w:rPr>
      </w:pPr>
      <w:r w:rsidDel="00000000" w:rsidR="00000000" w:rsidRPr="00000000">
        <w:rPr>
          <w:color w:val="000000"/>
          <w:sz w:val="22"/>
          <w:szCs w:val="22"/>
          <w:rtl w:val="0"/>
        </w:rPr>
        <w:t xml:space="preserve">Análisis estadístico.</w:t>
      </w:r>
    </w:p>
    <w:p w:rsidR="00000000" w:rsidDel="00000000" w:rsidP="00000000" w:rsidRDefault="00000000" w:rsidRPr="00000000" w14:paraId="00000040">
      <w:pPr>
        <w:rPr>
          <w:color w:val="000000"/>
          <w:sz w:val="22"/>
          <w:szCs w:val="22"/>
        </w:rPr>
      </w:pPr>
      <w:r w:rsidDel="00000000" w:rsidR="00000000" w:rsidRPr="00000000">
        <w:rPr>
          <w:rtl w:val="0"/>
        </w:rPr>
      </w:r>
    </w:p>
    <w:p w:rsidR="00000000" w:rsidDel="00000000" w:rsidP="00000000" w:rsidRDefault="00000000" w:rsidRPr="00000000" w14:paraId="00000041">
      <w:pPr>
        <w:ind w:right="276"/>
        <w:rPr>
          <w:color w:val="000000"/>
          <w:sz w:val="22"/>
          <w:szCs w:val="22"/>
        </w:rPr>
      </w:pPr>
      <w:r w:rsidDel="00000000" w:rsidR="00000000" w:rsidRPr="00000000">
        <w:rPr>
          <w:color w:val="000000"/>
          <w:sz w:val="22"/>
          <w:szCs w:val="22"/>
          <w:rtl w:val="0"/>
        </w:rPr>
        <w:t xml:space="preserve">Se realizó un análisis descriptivo, expresando las variables cuantitativas mediante la media y la desviación estándar y las variables cualitativas mediante frecuencias y porcentajes. </w:t>
      </w:r>
    </w:p>
    <w:p w:rsidR="00000000" w:rsidDel="00000000" w:rsidP="00000000" w:rsidRDefault="00000000" w:rsidRPr="00000000" w14:paraId="00000042">
      <w:pPr>
        <w:ind w:right="276"/>
        <w:rPr>
          <w:color w:val="000000"/>
          <w:sz w:val="22"/>
          <w:szCs w:val="22"/>
        </w:rPr>
      </w:pPr>
      <w:r w:rsidDel="00000000" w:rsidR="00000000" w:rsidRPr="00000000">
        <w:rPr>
          <w:rtl w:val="0"/>
        </w:rPr>
      </w:r>
    </w:p>
    <w:p w:rsidR="00000000" w:rsidDel="00000000" w:rsidP="00000000" w:rsidRDefault="00000000" w:rsidRPr="00000000" w14:paraId="00000043">
      <w:pPr>
        <w:ind w:right="276"/>
        <w:rPr>
          <w:color w:val="000000"/>
          <w:sz w:val="22"/>
          <w:szCs w:val="22"/>
        </w:rPr>
      </w:pPr>
      <w:r w:rsidDel="00000000" w:rsidR="00000000" w:rsidRPr="00000000">
        <w:rPr>
          <w:color w:val="000000"/>
          <w:sz w:val="22"/>
          <w:szCs w:val="22"/>
          <w:rtl w:val="0"/>
        </w:rPr>
        <w:t xml:space="preserve">Se calculó la incidencia acumulada y la tasa de incidencia de flebitis. </w:t>
      </w:r>
    </w:p>
    <w:p w:rsidR="00000000" w:rsidDel="00000000" w:rsidP="00000000" w:rsidRDefault="00000000" w:rsidRPr="00000000" w14:paraId="00000044">
      <w:pPr>
        <w:ind w:right="276"/>
        <w:rPr>
          <w:color w:val="000000"/>
          <w:sz w:val="22"/>
          <w:szCs w:val="22"/>
        </w:rPr>
      </w:pPr>
      <w:r w:rsidDel="00000000" w:rsidR="00000000" w:rsidRPr="00000000">
        <w:rPr>
          <w:rtl w:val="0"/>
        </w:rPr>
      </w:r>
    </w:p>
    <w:p w:rsidR="00000000" w:rsidDel="00000000" w:rsidP="00000000" w:rsidRDefault="00000000" w:rsidRPr="00000000" w14:paraId="00000045">
      <w:pPr>
        <w:ind w:right="276"/>
        <w:rPr>
          <w:color w:val="000000"/>
          <w:sz w:val="22"/>
          <w:szCs w:val="22"/>
        </w:rPr>
      </w:pPr>
      <w:r w:rsidDel="00000000" w:rsidR="00000000" w:rsidRPr="00000000">
        <w:rPr>
          <w:color w:val="000000"/>
          <w:sz w:val="22"/>
          <w:szCs w:val="22"/>
          <w:rtl w:val="0"/>
        </w:rPr>
        <w:t xml:space="preserve">El análisis de la incidencia acumulada consideró el cociente entre el número de CVP que presentaron flebitis y el número total de catéteres en el período estudiado, multiplicado por 100. </w:t>
      </w:r>
    </w:p>
    <w:p w:rsidR="00000000" w:rsidDel="00000000" w:rsidP="00000000" w:rsidRDefault="00000000" w:rsidRPr="00000000" w14:paraId="00000046">
      <w:pPr>
        <w:ind w:right="276"/>
        <w:rPr>
          <w:color w:val="000000"/>
          <w:sz w:val="22"/>
          <w:szCs w:val="22"/>
        </w:rPr>
      </w:pPr>
      <w:r w:rsidDel="00000000" w:rsidR="00000000" w:rsidRPr="00000000">
        <w:rPr>
          <w:rtl w:val="0"/>
        </w:rPr>
      </w:r>
    </w:p>
    <w:p w:rsidR="00000000" w:rsidDel="00000000" w:rsidP="00000000" w:rsidRDefault="00000000" w:rsidRPr="00000000" w14:paraId="00000047">
      <w:pPr>
        <w:ind w:right="276"/>
        <w:rPr>
          <w:color w:val="000000"/>
          <w:sz w:val="22"/>
          <w:szCs w:val="22"/>
          <w:vertAlign w:val="superscript"/>
        </w:rPr>
      </w:pPr>
      <w:r w:rsidDel="00000000" w:rsidR="00000000" w:rsidRPr="00000000">
        <w:rPr>
          <w:color w:val="000000"/>
          <w:sz w:val="22"/>
          <w:szCs w:val="22"/>
          <w:rtl w:val="0"/>
        </w:rPr>
        <w:t xml:space="preserve">La tasa de incidencia se calculó dividiendo el número de casos de flebitis entre la suma de días con CVP en el período estudiado y multiplicado por 1000 (incidencia de flebitis por 1000 días de CVP).</w:t>
      </w:r>
      <w:r w:rsidDel="00000000" w:rsidR="00000000" w:rsidRPr="00000000">
        <w:rPr>
          <w:color w:val="000000"/>
          <w:sz w:val="22"/>
          <w:szCs w:val="22"/>
          <w:vertAlign w:val="superscript"/>
          <w:rtl w:val="0"/>
        </w:rPr>
        <w:t xml:space="preserve">3,11</w:t>
      </w:r>
    </w:p>
    <w:p w:rsidR="00000000" w:rsidDel="00000000" w:rsidP="00000000" w:rsidRDefault="00000000" w:rsidRPr="00000000" w14:paraId="00000048">
      <w:pPr>
        <w:ind w:right="276"/>
        <w:rPr>
          <w:color w:val="000000"/>
          <w:sz w:val="22"/>
          <w:szCs w:val="22"/>
        </w:rPr>
      </w:pPr>
      <w:r w:rsidDel="00000000" w:rsidR="00000000" w:rsidRPr="00000000">
        <w:rPr>
          <w:rtl w:val="0"/>
        </w:rPr>
      </w:r>
    </w:p>
    <w:p w:rsidR="00000000" w:rsidDel="00000000" w:rsidP="00000000" w:rsidRDefault="00000000" w:rsidRPr="00000000" w14:paraId="00000049">
      <w:pPr>
        <w:ind w:right="276"/>
        <w:rPr>
          <w:color w:val="000000"/>
          <w:sz w:val="22"/>
          <w:szCs w:val="22"/>
        </w:rPr>
      </w:pPr>
      <w:r w:rsidDel="00000000" w:rsidR="00000000" w:rsidRPr="00000000">
        <w:rPr>
          <w:color w:val="000000"/>
          <w:sz w:val="22"/>
          <w:szCs w:val="22"/>
          <w:rtl w:val="0"/>
        </w:rPr>
        <w:t xml:space="preserve">Consideraciones éticas.</w:t>
      </w:r>
    </w:p>
    <w:p w:rsidR="00000000" w:rsidDel="00000000" w:rsidP="00000000" w:rsidRDefault="00000000" w:rsidRPr="00000000" w14:paraId="0000004A">
      <w:pPr>
        <w:ind w:right="276"/>
        <w:rPr>
          <w:color w:val="000000"/>
          <w:sz w:val="22"/>
          <w:szCs w:val="22"/>
        </w:rPr>
      </w:pPr>
      <w:r w:rsidDel="00000000" w:rsidR="00000000" w:rsidRPr="00000000">
        <w:rPr>
          <w:rtl w:val="0"/>
        </w:rPr>
      </w:r>
    </w:p>
    <w:p w:rsidR="00000000" w:rsidDel="00000000" w:rsidP="00000000" w:rsidRDefault="00000000" w:rsidRPr="00000000" w14:paraId="0000004B">
      <w:pPr>
        <w:ind w:right="276"/>
        <w:rPr>
          <w:color w:val="000000"/>
          <w:sz w:val="22"/>
          <w:szCs w:val="22"/>
        </w:rPr>
      </w:pPr>
      <w:r w:rsidDel="00000000" w:rsidR="00000000" w:rsidRPr="00000000">
        <w:rPr>
          <w:color w:val="000000"/>
          <w:sz w:val="22"/>
          <w:szCs w:val="22"/>
          <w:rtl w:val="0"/>
        </w:rPr>
        <w:t xml:space="preserve">El estudio se ha realizado siguiendo las consideraciones éticas para la investigación con seres humanos y con el consentimiento del Hospital Asepeyo (Coslada).</w:t>
      </w:r>
    </w:p>
    <w:p w:rsidR="00000000" w:rsidDel="00000000" w:rsidP="00000000" w:rsidRDefault="00000000" w:rsidRPr="00000000" w14:paraId="0000004C">
      <w:pPr>
        <w:ind w:right="276"/>
        <w:rPr>
          <w:color w:val="000000"/>
          <w:sz w:val="22"/>
          <w:szCs w:val="22"/>
        </w:rPr>
      </w:pPr>
      <w:r w:rsidDel="00000000" w:rsidR="00000000" w:rsidRPr="00000000">
        <w:rPr>
          <w:rtl w:val="0"/>
        </w:rPr>
      </w:r>
    </w:p>
    <w:p w:rsidR="00000000" w:rsidDel="00000000" w:rsidP="00000000" w:rsidRDefault="00000000" w:rsidRPr="00000000" w14:paraId="0000004D">
      <w:pPr>
        <w:ind w:right="276"/>
        <w:rPr>
          <w:color w:val="000000"/>
          <w:sz w:val="22"/>
          <w:szCs w:val="22"/>
        </w:rPr>
      </w:pPr>
      <w:r w:rsidDel="00000000" w:rsidR="00000000" w:rsidRPr="00000000">
        <w:rPr>
          <w:color w:val="000000"/>
          <w:sz w:val="22"/>
          <w:szCs w:val="22"/>
          <w:rtl w:val="0"/>
        </w:rPr>
        <w:t xml:space="preserve">Para el tratamiento de los datos de la historia clínica, estos fueron introducidos en una base de datos codificada, de forma que no incluyera información que permitiera identificar a los sujetos de estudio.</w:t>
      </w:r>
    </w:p>
    <w:p w:rsidR="00000000" w:rsidDel="00000000" w:rsidP="00000000" w:rsidRDefault="00000000" w:rsidRPr="00000000" w14:paraId="0000004E">
      <w:pPr>
        <w:ind w:right="276"/>
        <w:rPr>
          <w:color w:val="000000"/>
          <w:sz w:val="22"/>
          <w:szCs w:val="22"/>
          <w:vertAlign w:val="superscript"/>
        </w:rPr>
      </w:pPr>
      <w:r w:rsidDel="00000000" w:rsidR="00000000" w:rsidRPr="00000000">
        <w:rPr>
          <w:rtl w:val="0"/>
        </w:rPr>
      </w:r>
    </w:p>
    <w:p w:rsidR="00000000" w:rsidDel="00000000" w:rsidP="00000000" w:rsidRDefault="00000000" w:rsidRPr="00000000" w14:paraId="0000004F">
      <w:pPr>
        <w:rPr>
          <w:b w:val="1"/>
          <w:color w:val="000000"/>
          <w:sz w:val="22"/>
          <w:szCs w:val="22"/>
        </w:rPr>
      </w:pPr>
      <w:r w:rsidDel="00000000" w:rsidR="00000000" w:rsidRPr="00000000">
        <w:rPr>
          <w:rtl w:val="0"/>
        </w:rPr>
      </w:r>
    </w:p>
    <w:p w:rsidR="00000000" w:rsidDel="00000000" w:rsidP="00000000" w:rsidRDefault="00000000" w:rsidRPr="00000000" w14:paraId="00000050">
      <w:pPr>
        <w:rPr>
          <w:b w:val="1"/>
          <w:color w:val="000000"/>
          <w:sz w:val="22"/>
          <w:szCs w:val="22"/>
        </w:rPr>
      </w:pPr>
      <w:r w:rsidDel="00000000" w:rsidR="00000000" w:rsidRPr="00000000">
        <w:rPr>
          <w:b w:val="1"/>
          <w:color w:val="000000"/>
          <w:sz w:val="22"/>
          <w:szCs w:val="22"/>
          <w:rtl w:val="0"/>
        </w:rPr>
        <w:t xml:space="preserve">RESULTADOS.</w:t>
      </w:r>
    </w:p>
    <w:p w:rsidR="00000000" w:rsidDel="00000000" w:rsidP="00000000" w:rsidRDefault="00000000" w:rsidRPr="00000000" w14:paraId="00000051">
      <w:pPr>
        <w:rPr>
          <w:b w:val="1"/>
          <w:color w:val="000000"/>
          <w:sz w:val="22"/>
          <w:szCs w:val="22"/>
        </w:rPr>
      </w:pPr>
      <w:r w:rsidDel="00000000" w:rsidR="00000000" w:rsidRPr="00000000">
        <w:rPr>
          <w:rtl w:val="0"/>
        </w:rPr>
      </w:r>
    </w:p>
    <w:p w:rsidR="00000000" w:rsidDel="00000000" w:rsidP="00000000" w:rsidRDefault="00000000" w:rsidRPr="00000000" w14:paraId="00000052">
      <w:pPr>
        <w:rPr>
          <w:color w:val="000000"/>
          <w:sz w:val="22"/>
          <w:szCs w:val="22"/>
        </w:rPr>
      </w:pPr>
      <w:r w:rsidDel="00000000" w:rsidR="00000000" w:rsidRPr="00000000">
        <w:rPr>
          <w:color w:val="000000"/>
          <w:sz w:val="22"/>
          <w:szCs w:val="22"/>
          <w:rtl w:val="0"/>
        </w:rPr>
        <w:t xml:space="preserve">Se incluyeron 171 pacientes, con edades comprendidas entre los 20 y 70 años, con una media de edad de 47 años (DS 11,4). Del total de pacientes, 129 (75%) eran varones y 42 (25%) eran mujeres.</w:t>
      </w:r>
    </w:p>
    <w:p w:rsidR="00000000" w:rsidDel="00000000" w:rsidP="00000000" w:rsidRDefault="00000000" w:rsidRPr="00000000" w14:paraId="00000053">
      <w:pPr>
        <w:rPr>
          <w:color w:val="000000"/>
          <w:sz w:val="22"/>
          <w:szCs w:val="22"/>
        </w:rPr>
      </w:pPr>
      <w:r w:rsidDel="00000000" w:rsidR="00000000" w:rsidRPr="00000000">
        <w:rPr>
          <w:rtl w:val="0"/>
        </w:rPr>
      </w:r>
    </w:p>
    <w:p w:rsidR="00000000" w:rsidDel="00000000" w:rsidP="00000000" w:rsidRDefault="00000000" w:rsidRPr="00000000" w14:paraId="00000054">
      <w:pPr>
        <w:rPr>
          <w:color w:val="000000"/>
          <w:sz w:val="22"/>
          <w:szCs w:val="22"/>
        </w:rPr>
      </w:pPr>
      <w:r w:rsidDel="00000000" w:rsidR="00000000" w:rsidRPr="00000000">
        <w:rPr>
          <w:color w:val="000000"/>
          <w:sz w:val="22"/>
          <w:szCs w:val="22"/>
          <w:rtl w:val="0"/>
        </w:rPr>
        <w:t xml:space="preserve">Las comorbilidades más frecuentes fueron: hipertensión arterial y alteraciones metabólicas, destacando la hipercolesterolemia en 72 (43%) de los casos. Los hábitos tóxicos más comunes referidos por los pacientes fueron: el consumo de tabaco (n=63; 37%), alcohol (n=19; 17%) y otras drogas (n=10; 6%). (Tabla 1)</w:t>
      </w:r>
    </w:p>
    <w:p w:rsidR="00000000" w:rsidDel="00000000" w:rsidP="00000000" w:rsidRDefault="00000000" w:rsidRPr="00000000" w14:paraId="00000055">
      <w:pPr>
        <w:rPr>
          <w:color w:val="000000"/>
          <w:sz w:val="22"/>
          <w:szCs w:val="22"/>
        </w:rPr>
      </w:pPr>
      <w:r w:rsidDel="00000000" w:rsidR="00000000" w:rsidRPr="00000000">
        <w:rPr>
          <w:rtl w:val="0"/>
        </w:rPr>
      </w:r>
    </w:p>
    <w:p w:rsidR="00000000" w:rsidDel="00000000" w:rsidP="00000000" w:rsidRDefault="00000000" w:rsidRPr="00000000" w14:paraId="00000056">
      <w:pPr>
        <w:rPr>
          <w:color w:val="000000"/>
          <w:sz w:val="22"/>
          <w:szCs w:val="22"/>
        </w:rPr>
      </w:pPr>
      <w:r w:rsidDel="00000000" w:rsidR="00000000" w:rsidRPr="00000000">
        <w:rPr>
          <w:color w:val="000000"/>
          <w:sz w:val="22"/>
          <w:szCs w:val="22"/>
          <w:rtl w:val="0"/>
        </w:rPr>
        <w:t xml:space="preserve">Las cirugías programadas fueron de las siguientes especialidades: Traumatología (n=150; 87,7%), Cirugía Plástica (n=8; 4,7%), Unidad del dolor (n=8; 4,7%), Maxilofacial (n=2; 1,2%), Urología (n=2; 1,2%) y ORL (n=1; 0,6%).</w:t>
      </w:r>
    </w:p>
    <w:p w:rsidR="00000000" w:rsidDel="00000000" w:rsidP="00000000" w:rsidRDefault="00000000" w:rsidRPr="00000000" w14:paraId="00000057">
      <w:pPr>
        <w:rPr>
          <w:color w:val="000000"/>
          <w:sz w:val="22"/>
          <w:szCs w:val="22"/>
        </w:rPr>
      </w:pPr>
      <w:r w:rsidDel="00000000" w:rsidR="00000000" w:rsidRPr="00000000">
        <w:rPr>
          <w:rtl w:val="0"/>
        </w:rPr>
      </w:r>
    </w:p>
    <w:p w:rsidR="00000000" w:rsidDel="00000000" w:rsidP="00000000" w:rsidRDefault="00000000" w:rsidRPr="00000000" w14:paraId="00000058">
      <w:pPr>
        <w:rPr>
          <w:color w:val="000000"/>
          <w:sz w:val="22"/>
          <w:szCs w:val="22"/>
        </w:rPr>
      </w:pPr>
      <w:r w:rsidDel="00000000" w:rsidR="00000000" w:rsidRPr="00000000">
        <w:rPr>
          <w:color w:val="000000"/>
          <w:sz w:val="22"/>
          <w:szCs w:val="22"/>
          <w:rtl w:val="0"/>
        </w:rPr>
        <w:t xml:space="preserve">Tres (1,75%) de los 171 pacientes precisaron dos CVP. La lateralidad más frecuente para la inserción del CVP fue el miembro superior izquierdo. No se insertó ningún CVP en los miembros inferiores. El calibre del CVP más utilizado fue el 18G seguido del 20G. (Tabla 2)</w:t>
      </w:r>
    </w:p>
    <w:p w:rsidR="00000000" w:rsidDel="00000000" w:rsidP="00000000" w:rsidRDefault="00000000" w:rsidRPr="00000000" w14:paraId="00000059">
      <w:pPr>
        <w:rPr>
          <w:color w:val="000000"/>
          <w:sz w:val="22"/>
          <w:szCs w:val="22"/>
        </w:rPr>
      </w:pPr>
      <w:r w:rsidDel="00000000" w:rsidR="00000000" w:rsidRPr="00000000">
        <w:rPr>
          <w:rtl w:val="0"/>
        </w:rPr>
      </w:r>
    </w:p>
    <w:p w:rsidR="00000000" w:rsidDel="00000000" w:rsidP="00000000" w:rsidRDefault="00000000" w:rsidRPr="00000000" w14:paraId="0000005A">
      <w:pPr>
        <w:rPr>
          <w:color w:val="000000"/>
          <w:sz w:val="22"/>
          <w:szCs w:val="22"/>
        </w:rPr>
      </w:pPr>
      <w:r w:rsidDel="00000000" w:rsidR="00000000" w:rsidRPr="00000000">
        <w:rPr>
          <w:color w:val="000000"/>
          <w:sz w:val="22"/>
          <w:szCs w:val="22"/>
          <w:rtl w:val="0"/>
        </w:rPr>
        <w:t xml:space="preserve">Todos los CVP se fijaron con apósitos transparentes y portaban por lo menos una llave de tres pasos con alargadera. </w:t>
      </w:r>
    </w:p>
    <w:p w:rsidR="00000000" w:rsidDel="00000000" w:rsidP="00000000" w:rsidRDefault="00000000" w:rsidRPr="00000000" w14:paraId="0000005B">
      <w:pPr>
        <w:rPr>
          <w:color w:val="000000"/>
          <w:sz w:val="22"/>
          <w:szCs w:val="22"/>
        </w:rPr>
      </w:pPr>
      <w:r w:rsidDel="00000000" w:rsidR="00000000" w:rsidRPr="00000000">
        <w:rPr>
          <w:rtl w:val="0"/>
        </w:rPr>
      </w:r>
    </w:p>
    <w:p w:rsidR="00000000" w:rsidDel="00000000" w:rsidP="00000000" w:rsidRDefault="00000000" w:rsidRPr="00000000" w14:paraId="0000005C">
      <w:pPr>
        <w:rPr>
          <w:color w:val="000000"/>
          <w:sz w:val="22"/>
          <w:szCs w:val="22"/>
        </w:rPr>
      </w:pPr>
      <w:r w:rsidDel="00000000" w:rsidR="00000000" w:rsidRPr="00000000">
        <w:rPr>
          <w:color w:val="000000"/>
          <w:sz w:val="22"/>
          <w:szCs w:val="22"/>
          <w:rtl w:val="0"/>
        </w:rPr>
        <w:t xml:space="preserve">El motivo de retirada del CVP fue el alta hospitalaria en 143 (82%) de los casos. Se retiraron 20 (13%) CVP por complicaciones según la distribución representada en la tabla 2.</w:t>
      </w:r>
    </w:p>
    <w:p w:rsidR="00000000" w:rsidDel="00000000" w:rsidP="00000000" w:rsidRDefault="00000000" w:rsidRPr="00000000" w14:paraId="0000005D">
      <w:pPr>
        <w:rPr>
          <w:color w:val="000000"/>
          <w:sz w:val="22"/>
          <w:szCs w:val="22"/>
        </w:rPr>
      </w:pPr>
      <w:r w:rsidDel="00000000" w:rsidR="00000000" w:rsidRPr="00000000">
        <w:rPr>
          <w:rtl w:val="0"/>
        </w:rPr>
      </w:r>
    </w:p>
    <w:p w:rsidR="00000000" w:rsidDel="00000000" w:rsidP="00000000" w:rsidRDefault="00000000" w:rsidRPr="00000000" w14:paraId="0000005E">
      <w:pPr>
        <w:rPr>
          <w:color w:val="000000"/>
          <w:sz w:val="22"/>
          <w:szCs w:val="22"/>
        </w:rPr>
      </w:pPr>
      <w:r w:rsidDel="00000000" w:rsidR="00000000" w:rsidRPr="00000000">
        <w:rPr>
          <w:color w:val="000000"/>
          <w:sz w:val="22"/>
          <w:szCs w:val="22"/>
          <w:rtl w:val="0"/>
        </w:rPr>
        <w:t xml:space="preserve">El tiempo medio que se mantuvo cada catéter insertado fue de 2,5 días con una desviación estándar del (1,3).</w:t>
      </w:r>
    </w:p>
    <w:p w:rsidR="00000000" w:rsidDel="00000000" w:rsidP="00000000" w:rsidRDefault="00000000" w:rsidRPr="00000000" w14:paraId="0000005F">
      <w:pPr>
        <w:rPr>
          <w:color w:val="000000"/>
          <w:sz w:val="22"/>
          <w:szCs w:val="22"/>
        </w:rPr>
      </w:pPr>
      <w:r w:rsidDel="00000000" w:rsidR="00000000" w:rsidRPr="00000000">
        <w:rPr>
          <w:rtl w:val="0"/>
        </w:rPr>
      </w:r>
    </w:p>
    <w:p w:rsidR="00000000" w:rsidDel="00000000" w:rsidP="00000000" w:rsidRDefault="00000000" w:rsidRPr="00000000" w14:paraId="00000060">
      <w:pPr>
        <w:spacing w:after="220" w:lineRule="auto"/>
        <w:rPr>
          <w:sz w:val="22"/>
          <w:szCs w:val="22"/>
        </w:rPr>
      </w:pPr>
      <w:r w:rsidDel="00000000" w:rsidR="00000000" w:rsidRPr="00000000">
        <w:rPr>
          <w:color w:val="000000"/>
          <w:sz w:val="22"/>
          <w:szCs w:val="22"/>
          <w:rtl w:val="0"/>
        </w:rPr>
        <w:t xml:space="preserve">La incidencia acumulada de flebitis siguiendo el criterio estricto fue de un 4,6% mientras la tasa de incidencia por 1000 días de catéter se estimó en un 18,9</w:t>
      </w:r>
      <w:r w:rsidDel="00000000" w:rsidR="00000000" w:rsidRPr="00000000">
        <w:rPr>
          <w:sz w:val="22"/>
          <w:szCs w:val="22"/>
          <w:rtl w:val="0"/>
        </w:rPr>
        <w:t xml:space="preserve">El mayor porcentaje de flebitis correspondió al grado 2 en 7 (90%) de los casos y (n=1; 10%) fue  de grado 3. (Tabla 3)</w:t>
      </w:r>
    </w:p>
    <w:p w:rsidR="00000000" w:rsidDel="00000000" w:rsidP="00000000" w:rsidRDefault="00000000" w:rsidRPr="00000000" w14:paraId="00000061">
      <w:pPr>
        <w:spacing w:after="220" w:lineRule="auto"/>
        <w:rPr>
          <w:sz w:val="22"/>
          <w:szCs w:val="22"/>
        </w:rPr>
      </w:pPr>
      <w:r w:rsidDel="00000000" w:rsidR="00000000" w:rsidRPr="00000000">
        <w:rPr>
          <w:sz w:val="22"/>
          <w:szCs w:val="22"/>
          <w:rtl w:val="0"/>
        </w:rPr>
        <w:t xml:space="preserve">El mayor porcentaje de flebitis correspondió al grado 2 en 7 (90%) de los casos y (n=1; 10%) fue  de grado 3. (Tabla 3)</w:t>
      </w:r>
    </w:p>
    <w:p w:rsidR="00000000" w:rsidDel="00000000" w:rsidP="00000000" w:rsidRDefault="00000000" w:rsidRPr="00000000" w14:paraId="00000062">
      <w:pPr>
        <w:spacing w:after="220" w:lineRule="auto"/>
        <w:rPr>
          <w:color w:val="000000"/>
          <w:sz w:val="22"/>
          <w:szCs w:val="22"/>
        </w:rPr>
      </w:pPr>
      <w:r w:rsidDel="00000000" w:rsidR="00000000" w:rsidRPr="00000000">
        <w:rPr>
          <w:color w:val="000000"/>
          <w:sz w:val="22"/>
          <w:szCs w:val="22"/>
          <w:rtl w:val="0"/>
        </w:rPr>
        <w:t xml:space="preserve">La Tabla 4 muestra la distribución de flebitis y extravasación según el diámetro de catéter considerando el número de CVP insertados del mismo diámetro.</w:t>
      </w:r>
    </w:p>
    <w:p w:rsidR="00000000" w:rsidDel="00000000" w:rsidP="00000000" w:rsidRDefault="00000000" w:rsidRPr="00000000" w14:paraId="00000063">
      <w:pPr>
        <w:spacing w:after="220" w:lineRule="auto"/>
        <w:rPr>
          <w:color w:val="000000"/>
          <w:sz w:val="22"/>
          <w:szCs w:val="22"/>
        </w:rPr>
      </w:pPr>
      <w:r w:rsidDel="00000000" w:rsidR="00000000" w:rsidRPr="00000000">
        <w:rPr>
          <w:color w:val="000000"/>
          <w:sz w:val="22"/>
          <w:szCs w:val="22"/>
          <w:rtl w:val="0"/>
        </w:rPr>
        <w:t xml:space="preserve">Respecto al tiempo de aparición de flebitis, 2 (25%) de los casos se presentaron a las primeras 24 horas y 3 (37,5%) de los casos a las 48 horas. Durante el tercer, quinto y séptimo día se identificó 1 (12,5%) caso, respectivamente.</w:t>
      </w:r>
    </w:p>
    <w:p w:rsidR="00000000" w:rsidDel="00000000" w:rsidP="00000000" w:rsidRDefault="00000000" w:rsidRPr="00000000" w14:paraId="00000064">
      <w:pPr>
        <w:rPr>
          <w:color w:val="000000"/>
          <w:sz w:val="22"/>
          <w:szCs w:val="22"/>
        </w:rPr>
      </w:pPr>
      <w:r w:rsidDel="00000000" w:rsidR="00000000" w:rsidRPr="00000000">
        <w:rPr>
          <w:rtl w:val="0"/>
        </w:rPr>
      </w:r>
    </w:p>
    <w:p w:rsidR="00000000" w:rsidDel="00000000" w:rsidP="00000000" w:rsidRDefault="00000000" w:rsidRPr="00000000" w14:paraId="00000065">
      <w:pPr>
        <w:rPr>
          <w:color w:val="000000"/>
          <w:sz w:val="22"/>
          <w:szCs w:val="22"/>
        </w:rPr>
      </w:pPr>
      <w:r w:rsidDel="00000000" w:rsidR="00000000" w:rsidRPr="00000000">
        <w:rPr>
          <w:color w:val="000000"/>
          <w:sz w:val="22"/>
          <w:szCs w:val="22"/>
          <w:rtl w:val="0"/>
        </w:rPr>
        <w:t xml:space="preserve">DISCUSIÓN</w:t>
      </w:r>
    </w:p>
    <w:p w:rsidR="00000000" w:rsidDel="00000000" w:rsidP="00000000" w:rsidRDefault="00000000" w:rsidRPr="00000000" w14:paraId="00000066">
      <w:pPr>
        <w:rPr>
          <w:color w:val="000000"/>
          <w:sz w:val="22"/>
          <w:szCs w:val="22"/>
        </w:rPr>
      </w:pPr>
      <w:r w:rsidDel="00000000" w:rsidR="00000000" w:rsidRPr="00000000">
        <w:rPr>
          <w:rtl w:val="0"/>
        </w:rPr>
      </w:r>
    </w:p>
    <w:p w:rsidR="00000000" w:rsidDel="00000000" w:rsidP="00000000" w:rsidRDefault="00000000" w:rsidRPr="00000000" w14:paraId="00000067">
      <w:pPr>
        <w:rPr>
          <w:color w:val="000000"/>
          <w:sz w:val="22"/>
          <w:szCs w:val="22"/>
          <w:vertAlign w:val="superscript"/>
        </w:rPr>
      </w:pPr>
      <w:r w:rsidDel="00000000" w:rsidR="00000000" w:rsidRPr="00000000">
        <w:rPr>
          <w:color w:val="000000"/>
          <w:sz w:val="22"/>
          <w:szCs w:val="22"/>
          <w:rtl w:val="0"/>
        </w:rPr>
        <w:t xml:space="preserve">En este estudio, la incidencia de flebitis asociada a CVP fue de 4,6%. Esta cifra se encuentra por debajo del 5% recomendado por la Intravenous Nurses Society</w:t>
      </w:r>
      <w:r w:rsidDel="00000000" w:rsidR="00000000" w:rsidRPr="00000000">
        <w:rPr>
          <w:color w:val="000000"/>
          <w:sz w:val="22"/>
          <w:szCs w:val="22"/>
          <w:vertAlign w:val="superscript"/>
          <w:rtl w:val="0"/>
        </w:rPr>
        <w:t xml:space="preserve"> </w:t>
      </w:r>
      <w:r w:rsidDel="00000000" w:rsidR="00000000" w:rsidRPr="00000000">
        <w:rPr>
          <w:color w:val="000000"/>
          <w:sz w:val="22"/>
          <w:szCs w:val="22"/>
          <w:rtl w:val="0"/>
        </w:rPr>
        <w:t xml:space="preserve">.</w:t>
      </w:r>
      <w:r w:rsidDel="00000000" w:rsidR="00000000" w:rsidRPr="00000000">
        <w:rPr>
          <w:color w:val="000000"/>
          <w:sz w:val="22"/>
          <w:szCs w:val="22"/>
          <w:vertAlign w:val="superscript"/>
          <w:rtl w:val="0"/>
        </w:rPr>
        <w:t xml:space="preserve">11,18</w:t>
      </w:r>
    </w:p>
    <w:p w:rsidR="00000000" w:rsidDel="00000000" w:rsidP="00000000" w:rsidRDefault="00000000" w:rsidRPr="00000000" w14:paraId="00000068">
      <w:pPr>
        <w:rPr>
          <w:color w:val="000000"/>
          <w:sz w:val="22"/>
          <w:szCs w:val="22"/>
        </w:rPr>
      </w:pPr>
      <w:r w:rsidDel="00000000" w:rsidR="00000000" w:rsidRPr="00000000">
        <w:rPr>
          <w:rtl w:val="0"/>
        </w:rPr>
      </w:r>
    </w:p>
    <w:p w:rsidR="00000000" w:rsidDel="00000000" w:rsidP="00000000" w:rsidRDefault="00000000" w:rsidRPr="00000000" w14:paraId="00000069">
      <w:pPr>
        <w:rPr>
          <w:color w:val="000000"/>
          <w:sz w:val="22"/>
          <w:szCs w:val="22"/>
          <w:vertAlign w:val="superscript"/>
        </w:rPr>
      </w:pPr>
      <w:r w:rsidDel="00000000" w:rsidR="00000000" w:rsidRPr="00000000">
        <w:rPr>
          <w:sz w:val="22"/>
          <w:szCs w:val="22"/>
          <w:rtl w:val="0"/>
        </w:rPr>
        <w:t xml:space="preserve">Los</w:t>
      </w:r>
      <w:r w:rsidDel="00000000" w:rsidR="00000000" w:rsidRPr="00000000">
        <w:rPr>
          <w:color w:val="000000"/>
          <w:sz w:val="22"/>
          <w:szCs w:val="22"/>
          <w:rtl w:val="0"/>
        </w:rPr>
        <w:t xml:space="preserve"> resultados de otros estudios muestran una amplia variabilidad en la tasa de flebitis, que oscila entre un 10,1% y un 43%. Esta variabilidad puede obedecer a los diferentes tipos de factores relacionados con la ocurrencia de esta complicación, así como a la falta de consenso en su diagnóstico y al diseño del estudio.</w:t>
      </w:r>
      <w:r w:rsidDel="00000000" w:rsidR="00000000" w:rsidRPr="00000000">
        <w:rPr>
          <w:color w:val="000000"/>
          <w:sz w:val="22"/>
          <w:szCs w:val="22"/>
          <w:vertAlign w:val="superscript"/>
          <w:rtl w:val="0"/>
        </w:rPr>
        <w:t xml:space="preserve">3,5,11,19</w:t>
      </w:r>
    </w:p>
    <w:p w:rsidR="00000000" w:rsidDel="00000000" w:rsidP="00000000" w:rsidRDefault="00000000" w:rsidRPr="00000000" w14:paraId="0000006A">
      <w:pPr>
        <w:rPr>
          <w:color w:val="000000"/>
          <w:sz w:val="22"/>
          <w:szCs w:val="22"/>
          <w:vertAlign w:val="superscript"/>
        </w:rPr>
      </w:pPr>
      <w:r w:rsidDel="00000000" w:rsidR="00000000" w:rsidRPr="00000000">
        <w:rPr>
          <w:rtl w:val="0"/>
        </w:rPr>
      </w:r>
    </w:p>
    <w:p w:rsidR="00000000" w:rsidDel="00000000" w:rsidP="00000000" w:rsidRDefault="00000000" w:rsidRPr="00000000" w14:paraId="0000006B">
      <w:pPr>
        <w:rPr>
          <w:color w:val="000000"/>
          <w:sz w:val="22"/>
          <w:szCs w:val="22"/>
        </w:rPr>
      </w:pPr>
      <w:r w:rsidDel="00000000" w:rsidR="00000000" w:rsidRPr="00000000">
        <w:rPr>
          <w:color w:val="000000"/>
          <w:sz w:val="22"/>
          <w:szCs w:val="22"/>
          <w:rtl w:val="0"/>
        </w:rPr>
        <w:t xml:space="preserve">Trabajos similares a esta investigación, reportan una incidencia del 5,6%,</w:t>
      </w:r>
      <w:r w:rsidDel="00000000" w:rsidR="00000000" w:rsidRPr="00000000">
        <w:rPr>
          <w:color w:val="000000"/>
          <w:sz w:val="22"/>
          <w:szCs w:val="22"/>
          <w:vertAlign w:val="superscript"/>
          <w:rtl w:val="0"/>
        </w:rPr>
        <w:t xml:space="preserve">3</w:t>
      </w:r>
      <w:r w:rsidDel="00000000" w:rsidR="00000000" w:rsidRPr="00000000">
        <w:rPr>
          <w:color w:val="000000"/>
          <w:sz w:val="22"/>
          <w:szCs w:val="22"/>
          <w:rtl w:val="0"/>
        </w:rPr>
        <w:t xml:space="preserve"> sin embargo, el estudio de Muniz determinó una incidencia acumulada del 11,5% y una tasa de incidencia de flebitis del 43,2 por 1000 días de catéter, muy por encima de los datos obtenidos en este estudio.</w:t>
      </w:r>
    </w:p>
    <w:p w:rsidR="00000000" w:rsidDel="00000000" w:rsidP="00000000" w:rsidRDefault="00000000" w:rsidRPr="00000000" w14:paraId="0000006C">
      <w:pPr>
        <w:rPr>
          <w:color w:val="000000"/>
          <w:sz w:val="22"/>
          <w:szCs w:val="22"/>
        </w:rPr>
      </w:pPr>
      <w:r w:rsidDel="00000000" w:rsidR="00000000" w:rsidRPr="00000000">
        <w:rPr>
          <w:rtl w:val="0"/>
        </w:rPr>
      </w:r>
    </w:p>
    <w:p w:rsidR="00000000" w:rsidDel="00000000" w:rsidP="00000000" w:rsidRDefault="00000000" w:rsidRPr="00000000" w14:paraId="0000006D">
      <w:pPr>
        <w:rPr>
          <w:color w:val="000000"/>
          <w:sz w:val="22"/>
          <w:szCs w:val="22"/>
          <w:vertAlign w:val="superscript"/>
        </w:rPr>
      </w:pPr>
      <w:r w:rsidDel="00000000" w:rsidR="00000000" w:rsidRPr="00000000">
        <w:rPr>
          <w:color w:val="000000"/>
          <w:sz w:val="22"/>
          <w:szCs w:val="22"/>
          <w:rtl w:val="0"/>
        </w:rPr>
        <w:t xml:space="preserve">Otros autores, observaron una incidencia acumulada del 10,1% en pacientes mayores de 18 años y menor tiempo de permanencia del CVP comparado con este trabajo.</w:t>
      </w:r>
      <w:r w:rsidDel="00000000" w:rsidR="00000000" w:rsidRPr="00000000">
        <w:rPr>
          <w:color w:val="000000"/>
          <w:sz w:val="22"/>
          <w:szCs w:val="22"/>
          <w:vertAlign w:val="superscript"/>
          <w:rtl w:val="0"/>
        </w:rPr>
        <w:t xml:space="preserve">19</w:t>
      </w:r>
    </w:p>
    <w:p w:rsidR="00000000" w:rsidDel="00000000" w:rsidP="00000000" w:rsidRDefault="00000000" w:rsidRPr="00000000" w14:paraId="0000006E">
      <w:pPr>
        <w:rPr>
          <w:color w:val="000000"/>
          <w:sz w:val="22"/>
          <w:szCs w:val="22"/>
        </w:rPr>
      </w:pPr>
      <w:r w:rsidDel="00000000" w:rsidR="00000000" w:rsidRPr="00000000">
        <w:rPr>
          <w:rtl w:val="0"/>
        </w:rPr>
      </w:r>
    </w:p>
    <w:p w:rsidR="00000000" w:rsidDel="00000000" w:rsidP="00000000" w:rsidRDefault="00000000" w:rsidRPr="00000000" w14:paraId="0000006F">
      <w:pPr>
        <w:rPr>
          <w:color w:val="000000"/>
          <w:sz w:val="22"/>
          <w:szCs w:val="22"/>
        </w:rPr>
      </w:pPr>
      <w:r w:rsidDel="00000000" w:rsidR="00000000" w:rsidRPr="00000000">
        <w:rPr>
          <w:color w:val="000000"/>
          <w:sz w:val="22"/>
          <w:szCs w:val="22"/>
          <w:rtl w:val="0"/>
        </w:rPr>
        <w:t xml:space="preserve">La investigación de Ferraz- Torres para evaluar la efectividad del Proyecto Flebitis Zero, observó una incidencia de 11,8% después de aplicar medidas de mejora frente al 13,5% previo. Estas cifras se mantienen por encima de las recomendadas y confirman la variabilidad a la que hemos hecho referencia. </w:t>
      </w:r>
    </w:p>
    <w:p w:rsidR="00000000" w:rsidDel="00000000" w:rsidP="00000000" w:rsidRDefault="00000000" w:rsidRPr="00000000" w14:paraId="00000070">
      <w:pPr>
        <w:rPr>
          <w:color w:val="000000"/>
          <w:sz w:val="22"/>
          <w:szCs w:val="22"/>
        </w:rPr>
      </w:pPr>
      <w:r w:rsidDel="00000000" w:rsidR="00000000" w:rsidRPr="00000000">
        <w:rPr>
          <w:rtl w:val="0"/>
        </w:rPr>
      </w:r>
    </w:p>
    <w:p w:rsidR="00000000" w:rsidDel="00000000" w:rsidP="00000000" w:rsidRDefault="00000000" w:rsidRPr="00000000" w14:paraId="00000071">
      <w:pPr>
        <w:rPr>
          <w:color w:val="000000"/>
          <w:sz w:val="22"/>
          <w:szCs w:val="22"/>
          <w:vertAlign w:val="superscript"/>
        </w:rPr>
      </w:pPr>
      <w:r w:rsidDel="00000000" w:rsidR="00000000" w:rsidRPr="00000000">
        <w:rPr>
          <w:color w:val="000000"/>
          <w:sz w:val="22"/>
          <w:szCs w:val="22"/>
          <w:rtl w:val="0"/>
        </w:rPr>
        <w:t xml:space="preserve">La extravasación fue otra complicación observada en esta investigación, representada por (n=6, 4%) de los casos. Este dato es menor que los referidos por otras investigaciones.</w:t>
      </w:r>
      <w:r w:rsidDel="00000000" w:rsidR="00000000" w:rsidRPr="00000000">
        <w:rPr>
          <w:color w:val="000000"/>
          <w:sz w:val="22"/>
          <w:szCs w:val="22"/>
          <w:vertAlign w:val="superscript"/>
          <w:rtl w:val="0"/>
        </w:rPr>
        <w:t xml:space="preserve">2,20</w:t>
      </w:r>
    </w:p>
    <w:p w:rsidR="00000000" w:rsidDel="00000000" w:rsidP="00000000" w:rsidRDefault="00000000" w:rsidRPr="00000000" w14:paraId="00000072">
      <w:pPr>
        <w:rPr>
          <w:color w:val="000000"/>
          <w:sz w:val="22"/>
          <w:szCs w:val="22"/>
        </w:rPr>
      </w:pPr>
      <w:r w:rsidDel="00000000" w:rsidR="00000000" w:rsidRPr="00000000">
        <w:rPr>
          <w:rtl w:val="0"/>
        </w:rPr>
      </w:r>
    </w:p>
    <w:p w:rsidR="00000000" w:rsidDel="00000000" w:rsidP="00000000" w:rsidRDefault="00000000" w:rsidRPr="00000000" w14:paraId="00000073">
      <w:pPr>
        <w:rPr>
          <w:color w:val="000000"/>
          <w:sz w:val="22"/>
          <w:szCs w:val="22"/>
        </w:rPr>
      </w:pPr>
      <w:r w:rsidDel="00000000" w:rsidR="00000000" w:rsidRPr="00000000">
        <w:rPr>
          <w:color w:val="000000"/>
          <w:sz w:val="22"/>
          <w:szCs w:val="22"/>
          <w:rtl w:val="0"/>
        </w:rPr>
        <w:t xml:space="preserve">Si atendemos a las características de los CVP que produjeron complicaciones en este trabajo, están relacionadas con el diámetro del mismo. Tanto la flebitis como la extravasación ocurrieron en mayor porcentaje en los CVP de mayor diámetro.</w:t>
      </w:r>
    </w:p>
    <w:p w:rsidR="00000000" w:rsidDel="00000000" w:rsidP="00000000" w:rsidRDefault="00000000" w:rsidRPr="00000000" w14:paraId="00000074">
      <w:pPr>
        <w:rPr>
          <w:color w:val="000000"/>
          <w:sz w:val="22"/>
          <w:szCs w:val="22"/>
        </w:rPr>
      </w:pPr>
      <w:r w:rsidDel="00000000" w:rsidR="00000000" w:rsidRPr="00000000">
        <w:rPr>
          <w:rtl w:val="0"/>
        </w:rPr>
      </w:r>
    </w:p>
    <w:p w:rsidR="00000000" w:rsidDel="00000000" w:rsidP="00000000" w:rsidRDefault="00000000" w:rsidRPr="00000000" w14:paraId="00000075">
      <w:pPr>
        <w:rPr>
          <w:color w:val="000000"/>
          <w:sz w:val="22"/>
          <w:szCs w:val="22"/>
        </w:rPr>
      </w:pPr>
      <w:r w:rsidDel="00000000" w:rsidR="00000000" w:rsidRPr="00000000">
        <w:rPr>
          <w:color w:val="000000"/>
          <w:sz w:val="22"/>
          <w:szCs w:val="22"/>
          <w:rtl w:val="0"/>
        </w:rPr>
        <w:t xml:space="preserve">Numerosos estudios concluyen que CVP de mayor diámetro, son más propensos a producir flebitis mecánica debido a su gran calibre en comparación con el diámetro de la vena.</w:t>
      </w:r>
      <w:r w:rsidDel="00000000" w:rsidR="00000000" w:rsidRPr="00000000">
        <w:rPr>
          <w:color w:val="000000"/>
          <w:sz w:val="22"/>
          <w:szCs w:val="22"/>
          <w:vertAlign w:val="superscript"/>
          <w:rtl w:val="0"/>
        </w:rPr>
        <w:t xml:space="preserve">6,21 </w:t>
      </w:r>
      <w:r w:rsidDel="00000000" w:rsidR="00000000" w:rsidRPr="00000000">
        <w:rPr>
          <w:color w:val="000000"/>
          <w:sz w:val="22"/>
          <w:szCs w:val="22"/>
          <w:rtl w:val="0"/>
        </w:rPr>
        <w:t xml:space="preserve">Esto se debe a la fricción del catéter contra la íntima de la vena y la obstrucción del flujo de sangre. Calibres más pequeños facilitan la hemodilución de los medicamentos y evitan la irritación por contacto.</w:t>
      </w:r>
      <w:r w:rsidDel="00000000" w:rsidR="00000000" w:rsidRPr="00000000">
        <w:rPr>
          <w:color w:val="000000"/>
          <w:sz w:val="22"/>
          <w:szCs w:val="22"/>
          <w:vertAlign w:val="superscript"/>
          <w:rtl w:val="0"/>
        </w:rPr>
        <w:t xml:space="preserve">6</w:t>
      </w:r>
      <w:r w:rsidDel="00000000" w:rsidR="00000000" w:rsidRPr="00000000">
        <w:rPr>
          <w:color w:val="000000"/>
          <w:sz w:val="22"/>
          <w:szCs w:val="22"/>
          <w:rtl w:val="0"/>
        </w:rPr>
        <w:t xml:space="preserve"> Por lo tanto, la elección del calibre del CVP es prioritario para asegurar su viabilidad y funcionalidad. </w:t>
      </w:r>
    </w:p>
    <w:p w:rsidR="00000000" w:rsidDel="00000000" w:rsidP="00000000" w:rsidRDefault="00000000" w:rsidRPr="00000000" w14:paraId="00000076">
      <w:pPr>
        <w:rPr>
          <w:color w:val="000000"/>
          <w:sz w:val="22"/>
          <w:szCs w:val="22"/>
        </w:rPr>
      </w:pPr>
      <w:r w:rsidDel="00000000" w:rsidR="00000000" w:rsidRPr="00000000">
        <w:rPr>
          <w:rtl w:val="0"/>
        </w:rPr>
      </w:r>
    </w:p>
    <w:p w:rsidR="00000000" w:rsidDel="00000000" w:rsidP="00000000" w:rsidRDefault="00000000" w:rsidRPr="00000000" w14:paraId="00000077">
      <w:pPr>
        <w:rPr>
          <w:color w:val="000000"/>
          <w:sz w:val="22"/>
          <w:szCs w:val="22"/>
        </w:rPr>
      </w:pPr>
      <w:r w:rsidDel="00000000" w:rsidR="00000000" w:rsidRPr="00000000">
        <w:rPr>
          <w:color w:val="000000"/>
          <w:sz w:val="22"/>
          <w:szCs w:val="22"/>
          <w:rtl w:val="0"/>
        </w:rPr>
        <w:t xml:space="preserve">Los CVP se fijaron con apósitos transparentes. Aunque los estudios son escasos, se ha demostrado que los apósitos reforzados pueden disminuir la incidencia de flebitis.</w:t>
      </w:r>
      <w:r w:rsidDel="00000000" w:rsidR="00000000" w:rsidRPr="00000000">
        <w:rPr>
          <w:color w:val="000000"/>
          <w:sz w:val="22"/>
          <w:szCs w:val="22"/>
          <w:vertAlign w:val="superscript"/>
          <w:rtl w:val="0"/>
        </w:rPr>
        <w:t xml:space="preserve">18 </w:t>
      </w:r>
      <w:r w:rsidDel="00000000" w:rsidR="00000000" w:rsidRPr="00000000">
        <w:rPr>
          <w:color w:val="000000"/>
          <w:sz w:val="22"/>
          <w:szCs w:val="22"/>
          <w:rtl w:val="0"/>
        </w:rPr>
        <w:t xml:space="preserve">Cicolini G, describe un mayor número de flebitis en CVP sujetos con parche transparente de poliuretano (16,5%) en lugar de gasa y cinta (14%).</w:t>
      </w:r>
      <w:r w:rsidDel="00000000" w:rsidR="00000000" w:rsidRPr="00000000">
        <w:rPr>
          <w:sz w:val="22"/>
          <w:szCs w:val="22"/>
          <w:vertAlign w:val="superscript"/>
          <w:rtl w:val="0"/>
        </w:rPr>
        <w:t xml:space="preserve">22</w:t>
      </w:r>
      <w:r w:rsidDel="00000000" w:rsidR="00000000" w:rsidRPr="00000000">
        <w:rPr>
          <w:rtl w:val="0"/>
        </w:rPr>
      </w:r>
    </w:p>
    <w:p w:rsidR="00000000" w:rsidDel="00000000" w:rsidP="00000000" w:rsidRDefault="00000000" w:rsidRPr="00000000" w14:paraId="00000078">
      <w:pPr>
        <w:rPr>
          <w:color w:val="000000"/>
          <w:sz w:val="22"/>
          <w:szCs w:val="22"/>
        </w:rPr>
      </w:pPr>
      <w:r w:rsidDel="00000000" w:rsidR="00000000" w:rsidRPr="00000000">
        <w:rPr>
          <w:rtl w:val="0"/>
        </w:rPr>
      </w:r>
    </w:p>
    <w:p w:rsidR="00000000" w:rsidDel="00000000" w:rsidP="00000000" w:rsidRDefault="00000000" w:rsidRPr="00000000" w14:paraId="00000079">
      <w:pPr>
        <w:rPr>
          <w:color w:val="000000"/>
          <w:sz w:val="22"/>
          <w:szCs w:val="22"/>
          <w:vertAlign w:val="superscript"/>
        </w:rPr>
      </w:pPr>
      <w:r w:rsidDel="00000000" w:rsidR="00000000" w:rsidRPr="00000000">
        <w:rPr>
          <w:color w:val="000000"/>
          <w:sz w:val="22"/>
          <w:szCs w:val="22"/>
          <w:rtl w:val="0"/>
        </w:rPr>
        <w:t xml:space="preserve">Respecto al grado de flebitis, la más frecuente en este estudio fue la de grado 2, coincidiendo con los datos publicados en la literatura que corroboran que el grado 1 y 2 de flebitis son las más frecuente</w:t>
      </w:r>
      <w:r w:rsidDel="00000000" w:rsidR="00000000" w:rsidRPr="00000000">
        <w:rPr>
          <w:sz w:val="22"/>
          <w:szCs w:val="22"/>
          <w:rtl w:val="0"/>
        </w:rPr>
        <w:t xml:space="preserve">s.</w:t>
      </w:r>
      <w:r w:rsidDel="00000000" w:rsidR="00000000" w:rsidRPr="00000000">
        <w:rPr>
          <w:color w:val="000000"/>
          <w:sz w:val="22"/>
          <w:szCs w:val="22"/>
          <w:vertAlign w:val="superscript"/>
          <w:rtl w:val="0"/>
        </w:rPr>
        <w:t xml:space="preserve">21</w:t>
      </w:r>
    </w:p>
    <w:p w:rsidR="00000000" w:rsidDel="00000000" w:rsidP="00000000" w:rsidRDefault="00000000" w:rsidRPr="00000000" w14:paraId="0000007A">
      <w:pPr>
        <w:rPr>
          <w:color w:val="000000"/>
          <w:sz w:val="22"/>
          <w:szCs w:val="22"/>
          <w:vertAlign w:val="superscript"/>
        </w:rPr>
      </w:pPr>
      <w:r w:rsidDel="00000000" w:rsidR="00000000" w:rsidRPr="00000000">
        <w:rPr>
          <w:rtl w:val="0"/>
        </w:rPr>
      </w:r>
    </w:p>
    <w:p w:rsidR="00000000" w:rsidDel="00000000" w:rsidP="00000000" w:rsidRDefault="00000000" w:rsidRPr="00000000" w14:paraId="0000007B">
      <w:pPr>
        <w:rPr>
          <w:color w:val="000000"/>
          <w:sz w:val="22"/>
          <w:szCs w:val="22"/>
        </w:rPr>
      </w:pPr>
      <w:r w:rsidDel="00000000" w:rsidR="00000000" w:rsidRPr="00000000">
        <w:rPr>
          <w:color w:val="000000"/>
          <w:sz w:val="22"/>
          <w:szCs w:val="22"/>
          <w:rtl w:val="0"/>
        </w:rPr>
        <w:t xml:space="preserve">El factor tiempo es determinante en el desarrollo de esta complicación, de manera que el riesgo aumenta a medida que aumentan las horas de permanencia del CVP. El mayor porcentaje de flebitis suele presentarse entre las 48 y 72 horas.</w:t>
      </w:r>
      <w:r w:rsidDel="00000000" w:rsidR="00000000" w:rsidRPr="00000000">
        <w:rPr>
          <w:color w:val="000000"/>
          <w:sz w:val="22"/>
          <w:szCs w:val="22"/>
          <w:vertAlign w:val="superscript"/>
          <w:rtl w:val="0"/>
        </w:rPr>
        <w:t xml:space="preserve">6 </w:t>
      </w:r>
      <w:r w:rsidDel="00000000" w:rsidR="00000000" w:rsidRPr="00000000">
        <w:rPr>
          <w:color w:val="000000"/>
          <w:sz w:val="22"/>
          <w:szCs w:val="22"/>
          <w:rtl w:val="0"/>
        </w:rPr>
        <w:t xml:space="preserve">Este estudio diagnosticó el mayor porcentaje de flebitis durante las primeras 48 horas, por lo que los resultados están de acuerdo con el periodo de manifestación de flebitis que identifican otros estudios.</w:t>
      </w:r>
      <w:r w:rsidDel="00000000" w:rsidR="00000000" w:rsidRPr="00000000">
        <w:rPr>
          <w:color w:val="000000"/>
          <w:sz w:val="22"/>
          <w:szCs w:val="22"/>
          <w:vertAlign w:val="superscript"/>
          <w:rtl w:val="0"/>
        </w:rPr>
        <w:t xml:space="preserve">11,2</w:t>
      </w:r>
      <w:r w:rsidDel="00000000" w:rsidR="00000000" w:rsidRPr="00000000">
        <w:rPr>
          <w:sz w:val="22"/>
          <w:szCs w:val="22"/>
          <w:vertAlign w:val="superscript"/>
          <w:rtl w:val="0"/>
        </w:rPr>
        <w:t xml:space="preserve">3</w:t>
      </w:r>
      <w:r w:rsidDel="00000000" w:rsidR="00000000" w:rsidRPr="00000000">
        <w:rPr>
          <w:color w:val="000000"/>
          <w:sz w:val="22"/>
          <w:szCs w:val="22"/>
          <w:vertAlign w:val="superscript"/>
          <w:rtl w:val="0"/>
        </w:rPr>
        <w:t xml:space="preserve">,2</w:t>
      </w:r>
      <w:r w:rsidDel="00000000" w:rsidR="00000000" w:rsidRPr="00000000">
        <w:rPr>
          <w:sz w:val="22"/>
          <w:szCs w:val="22"/>
          <w:vertAlign w:val="superscript"/>
          <w:rtl w:val="0"/>
        </w:rPr>
        <w:t xml:space="preserve">4</w:t>
      </w:r>
      <w:r w:rsidDel="00000000" w:rsidR="00000000" w:rsidRPr="00000000">
        <w:rPr>
          <w:rtl w:val="0"/>
        </w:rPr>
      </w:r>
    </w:p>
    <w:p w:rsidR="00000000" w:rsidDel="00000000" w:rsidP="00000000" w:rsidRDefault="00000000" w:rsidRPr="00000000" w14:paraId="0000007C">
      <w:pPr>
        <w:rPr>
          <w:color w:val="000000"/>
          <w:sz w:val="22"/>
          <w:szCs w:val="22"/>
          <w:vertAlign w:val="superscript"/>
        </w:rPr>
      </w:pPr>
      <w:r w:rsidDel="00000000" w:rsidR="00000000" w:rsidRPr="00000000">
        <w:rPr>
          <w:rtl w:val="0"/>
        </w:rPr>
      </w:r>
    </w:p>
    <w:p w:rsidR="00000000" w:rsidDel="00000000" w:rsidP="00000000" w:rsidRDefault="00000000" w:rsidRPr="00000000" w14:paraId="0000007D">
      <w:pPr>
        <w:rPr>
          <w:color w:val="000000"/>
          <w:sz w:val="22"/>
          <w:szCs w:val="22"/>
        </w:rPr>
      </w:pPr>
      <w:r w:rsidDel="00000000" w:rsidR="00000000" w:rsidRPr="00000000">
        <w:rPr>
          <w:color w:val="000000"/>
          <w:sz w:val="22"/>
          <w:szCs w:val="22"/>
          <w:rtl w:val="0"/>
        </w:rPr>
        <w:t xml:space="preserve">La principal limitación de esta investigación radica en el tipo y tamaño de la muestra, lo que limita la generalización de los resultados.</w:t>
      </w:r>
    </w:p>
    <w:p w:rsidR="00000000" w:rsidDel="00000000" w:rsidP="00000000" w:rsidRDefault="00000000" w:rsidRPr="00000000" w14:paraId="0000007E">
      <w:pPr>
        <w:rPr>
          <w:color w:val="000000"/>
          <w:sz w:val="22"/>
          <w:szCs w:val="22"/>
        </w:rPr>
      </w:pPr>
      <w:r w:rsidDel="00000000" w:rsidR="00000000" w:rsidRPr="00000000">
        <w:rPr>
          <w:rtl w:val="0"/>
        </w:rPr>
      </w:r>
    </w:p>
    <w:p w:rsidR="00000000" w:rsidDel="00000000" w:rsidP="00000000" w:rsidRDefault="00000000" w:rsidRPr="00000000" w14:paraId="0000007F">
      <w:pPr>
        <w:rPr>
          <w:color w:val="000000"/>
          <w:sz w:val="22"/>
          <w:szCs w:val="22"/>
        </w:rPr>
      </w:pPr>
      <w:r w:rsidDel="00000000" w:rsidR="00000000" w:rsidRPr="00000000">
        <w:rPr>
          <w:color w:val="000000"/>
          <w:sz w:val="22"/>
          <w:szCs w:val="22"/>
          <w:rtl w:val="0"/>
        </w:rPr>
        <w:t xml:space="preserve">La reflexión que sugiere este estudio es la necesidad de identificar los factores de riesgo que </w:t>
      </w:r>
      <w:r w:rsidDel="00000000" w:rsidR="00000000" w:rsidRPr="00000000">
        <w:rPr>
          <w:sz w:val="22"/>
          <w:szCs w:val="22"/>
          <w:rtl w:val="0"/>
        </w:rPr>
        <w:t xml:space="preserve">determinan</w:t>
      </w:r>
      <w:r w:rsidDel="00000000" w:rsidR="00000000" w:rsidRPr="00000000">
        <w:rPr>
          <w:color w:val="000000"/>
          <w:sz w:val="22"/>
          <w:szCs w:val="22"/>
          <w:rtl w:val="0"/>
        </w:rPr>
        <w:t xml:space="preserve"> la aparición temprana de flebitis asociada a CVP tras un tiempo de permanencia relativamente corto. </w:t>
      </w:r>
    </w:p>
    <w:p w:rsidR="00000000" w:rsidDel="00000000" w:rsidP="00000000" w:rsidRDefault="00000000" w:rsidRPr="00000000" w14:paraId="00000080">
      <w:pPr>
        <w:rPr>
          <w:color w:val="000000"/>
          <w:sz w:val="22"/>
          <w:szCs w:val="22"/>
        </w:rPr>
      </w:pPr>
      <w:r w:rsidDel="00000000" w:rsidR="00000000" w:rsidRPr="00000000">
        <w:rPr>
          <w:rtl w:val="0"/>
        </w:rPr>
      </w:r>
    </w:p>
    <w:p w:rsidR="00000000" w:rsidDel="00000000" w:rsidP="00000000" w:rsidRDefault="00000000" w:rsidRPr="00000000" w14:paraId="00000081">
      <w:pPr>
        <w:rPr>
          <w:color w:val="000000"/>
          <w:sz w:val="22"/>
          <w:szCs w:val="22"/>
        </w:rPr>
      </w:pPr>
      <w:r w:rsidDel="00000000" w:rsidR="00000000" w:rsidRPr="00000000">
        <w:rPr>
          <w:rtl w:val="0"/>
        </w:rPr>
      </w:r>
    </w:p>
    <w:p w:rsidR="00000000" w:rsidDel="00000000" w:rsidP="00000000" w:rsidRDefault="00000000" w:rsidRPr="00000000" w14:paraId="00000082">
      <w:pPr>
        <w:rPr>
          <w:color w:val="000000"/>
          <w:sz w:val="22"/>
          <w:szCs w:val="22"/>
        </w:rPr>
      </w:pPr>
      <w:r w:rsidDel="00000000" w:rsidR="00000000" w:rsidRPr="00000000">
        <w:rPr>
          <w:color w:val="000000"/>
          <w:sz w:val="22"/>
          <w:szCs w:val="22"/>
          <w:rtl w:val="0"/>
        </w:rPr>
        <w:t xml:space="preserve">CONCLUSIÓN.</w:t>
      </w:r>
    </w:p>
    <w:p w:rsidR="00000000" w:rsidDel="00000000" w:rsidP="00000000" w:rsidRDefault="00000000" w:rsidRPr="00000000" w14:paraId="00000083">
      <w:pPr>
        <w:rPr>
          <w:color w:val="000000"/>
          <w:sz w:val="22"/>
          <w:szCs w:val="22"/>
        </w:rPr>
      </w:pPr>
      <w:r w:rsidDel="00000000" w:rsidR="00000000" w:rsidRPr="00000000">
        <w:rPr>
          <w:color w:val="000000"/>
          <w:sz w:val="22"/>
          <w:szCs w:val="22"/>
          <w:rtl w:val="0"/>
        </w:rPr>
        <w:t xml:space="preserve">La incidencia acumulada de flebitis asociada a CVP en este estudio (4,6%), se encuentra por debajo de la recomendada internacionalmente (5%) y de algunos estudios de similar metodología. Otras complicaciones observadas fueron la extravasación y la salida accidental del CVP. Los resultados de este estudio permiten conocer la situación basal del hospital para implementar medidas de mejora.</w:t>
      </w:r>
    </w:p>
    <w:p w:rsidR="00000000" w:rsidDel="00000000" w:rsidP="00000000" w:rsidRDefault="00000000" w:rsidRPr="00000000" w14:paraId="00000084">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5">
      <w:pPr>
        <w:rPr>
          <w:color w:val="000000"/>
          <w:sz w:val="22"/>
          <w:szCs w:val="22"/>
        </w:rPr>
      </w:pPr>
      <w:r w:rsidDel="00000000" w:rsidR="00000000" w:rsidRPr="00000000">
        <w:rPr>
          <w:color w:val="000000"/>
          <w:sz w:val="22"/>
          <w:szCs w:val="22"/>
          <w:rtl w:val="0"/>
        </w:rPr>
        <w:t xml:space="preserve">BIBLIOGRAFÍA.</w:t>
      </w:r>
    </w:p>
    <w:p w:rsidR="00000000" w:rsidDel="00000000" w:rsidP="00000000" w:rsidRDefault="00000000" w:rsidRPr="00000000" w14:paraId="00000086">
      <w:pPr>
        <w:rPr>
          <w:color w:val="000000"/>
          <w:sz w:val="22"/>
          <w:szCs w:val="22"/>
        </w:rPr>
      </w:pPr>
      <w:r w:rsidDel="00000000" w:rsidR="00000000" w:rsidRPr="00000000">
        <w:rPr>
          <w:rtl w:val="0"/>
        </w:rPr>
      </w:r>
    </w:p>
    <w:p w:rsidR="00000000" w:rsidDel="00000000" w:rsidP="00000000" w:rsidRDefault="00000000" w:rsidRPr="00000000" w14:paraId="00000087">
      <w:pPr>
        <w:numPr>
          <w:ilvl w:val="0"/>
          <w:numId w:val="1"/>
        </w:numPr>
        <w:ind w:left="720" w:hanging="360"/>
        <w:rPr>
          <w:color w:val="000000"/>
          <w:sz w:val="22"/>
          <w:szCs w:val="22"/>
        </w:rPr>
      </w:pPr>
      <w:r w:rsidDel="00000000" w:rsidR="00000000" w:rsidRPr="00000000">
        <w:rPr>
          <w:color w:val="000000"/>
          <w:sz w:val="22"/>
          <w:szCs w:val="22"/>
          <w:rtl w:val="0"/>
        </w:rPr>
        <w:t xml:space="preserve">Rodríguez MA. Factores de riesgo de dificultad en la canalización venosa periférica en atención hospitalaria. Estudio caso-control multicéntrico. Tesis doctoral. Málaga. Universidad de Málaga; 2021.</w:t>
      </w:r>
    </w:p>
    <w:p w:rsidR="00000000" w:rsidDel="00000000" w:rsidP="00000000" w:rsidRDefault="00000000" w:rsidRPr="00000000" w14:paraId="00000088">
      <w:pPr>
        <w:numPr>
          <w:ilvl w:val="0"/>
          <w:numId w:val="1"/>
        </w:numPr>
        <w:ind w:left="720" w:hanging="360"/>
        <w:rPr>
          <w:color w:val="000000"/>
          <w:sz w:val="22"/>
          <w:szCs w:val="22"/>
        </w:rPr>
      </w:pPr>
      <w:r w:rsidDel="00000000" w:rsidR="00000000" w:rsidRPr="00000000">
        <w:rPr>
          <w:color w:val="000000"/>
          <w:sz w:val="22"/>
          <w:szCs w:val="22"/>
          <w:rtl w:val="0"/>
        </w:rPr>
        <w:t xml:space="preserve">García-Quesada MJ, Huertas-Zurriaga A, Reina Sarrió D, López Salas Raúl, Muñoz Rey P, Castellá-Fábregas L. Prevalencia del catéter venoso periférico en un hospital terciario: elección en función del tratamiento. Evidentia. 2022;19 (supl): el14142 Disponible en: http://ciberindex.com/c/ev/e14142 [acceso: 09/01/2023]</w:t>
      </w:r>
    </w:p>
    <w:p w:rsidR="00000000" w:rsidDel="00000000" w:rsidP="00000000" w:rsidRDefault="00000000" w:rsidRPr="00000000" w14:paraId="00000089">
      <w:pPr>
        <w:numPr>
          <w:ilvl w:val="0"/>
          <w:numId w:val="1"/>
        </w:numPr>
        <w:ind w:left="720" w:hanging="360"/>
        <w:rPr>
          <w:color w:val="000000"/>
          <w:sz w:val="22"/>
          <w:szCs w:val="22"/>
        </w:rPr>
      </w:pPr>
      <w:r w:rsidDel="00000000" w:rsidR="00000000" w:rsidRPr="00000000">
        <w:rPr>
          <w:color w:val="000000"/>
          <w:sz w:val="22"/>
          <w:szCs w:val="22"/>
          <w:rtl w:val="0"/>
        </w:rPr>
        <w:t xml:space="preserve">Arias-Fernández L, Suárez-Mier B, Martínez-Ortega MC, Lana A. Incidencia y factores de riesgo de flebitis asociadas a catéteres venosos periféricos. Enf. Clín. 2017; 27:79-86.</w:t>
      </w:r>
    </w:p>
    <w:p w:rsidR="00000000" w:rsidDel="00000000" w:rsidP="00000000" w:rsidRDefault="00000000" w:rsidRPr="00000000" w14:paraId="0000008A">
      <w:pPr>
        <w:numPr>
          <w:ilvl w:val="0"/>
          <w:numId w:val="1"/>
        </w:numPr>
        <w:ind w:left="720" w:hanging="360"/>
        <w:rPr>
          <w:color w:val="000000"/>
          <w:sz w:val="22"/>
          <w:szCs w:val="22"/>
        </w:rPr>
      </w:pPr>
      <w:r w:rsidDel="00000000" w:rsidR="00000000" w:rsidRPr="00000000">
        <w:rPr>
          <w:color w:val="000000"/>
          <w:sz w:val="22"/>
          <w:szCs w:val="22"/>
          <w:rtl w:val="0"/>
        </w:rPr>
        <w:t xml:space="preserve">Capdevilla JA, El catéter periférico: el gran olvidado de la infección nosocomial. Rev Esp Quimioter 2013;26(1):1-5</w:t>
      </w:r>
    </w:p>
    <w:p w:rsidR="00000000" w:rsidDel="00000000" w:rsidP="00000000" w:rsidRDefault="00000000" w:rsidRPr="00000000" w14:paraId="0000008B">
      <w:pPr>
        <w:numPr>
          <w:ilvl w:val="0"/>
          <w:numId w:val="1"/>
        </w:numPr>
        <w:ind w:left="720" w:hanging="360"/>
        <w:rPr>
          <w:color w:val="000000"/>
          <w:sz w:val="22"/>
          <w:szCs w:val="22"/>
        </w:rPr>
      </w:pPr>
      <w:r w:rsidDel="00000000" w:rsidR="00000000" w:rsidRPr="00000000">
        <w:rPr>
          <w:color w:val="000000"/>
          <w:sz w:val="22"/>
          <w:szCs w:val="22"/>
          <w:rtl w:val="0"/>
        </w:rPr>
        <w:t xml:space="preserve">Pérez Melgarejo E. Flebitis postinfusión en catéteres venosos periféricos: una actualización del arte. Horiz Enferm. 2011; 22(2): 37-48.</w:t>
      </w:r>
    </w:p>
    <w:p w:rsidR="00000000" w:rsidDel="00000000" w:rsidP="00000000" w:rsidRDefault="00000000" w:rsidRPr="00000000" w14:paraId="0000008C">
      <w:pPr>
        <w:numPr>
          <w:ilvl w:val="0"/>
          <w:numId w:val="1"/>
        </w:numPr>
        <w:ind w:left="720" w:hanging="360"/>
        <w:rPr>
          <w:color w:val="000000"/>
          <w:sz w:val="22"/>
          <w:szCs w:val="22"/>
        </w:rPr>
      </w:pPr>
      <w:r w:rsidDel="00000000" w:rsidR="00000000" w:rsidRPr="00000000">
        <w:rPr>
          <w:color w:val="000000"/>
          <w:sz w:val="22"/>
          <w:szCs w:val="22"/>
          <w:rtl w:val="0"/>
        </w:rPr>
        <w:t xml:space="preserve">Alcaldes Berganza M. Flebitis en catéter venoso periférico. Trabajo Fin de Grado de Enfermería. Universidad del País Vasco. 2017.</w:t>
      </w:r>
    </w:p>
    <w:p w:rsidR="00000000" w:rsidDel="00000000" w:rsidP="00000000" w:rsidRDefault="00000000" w:rsidRPr="00000000" w14:paraId="0000008D">
      <w:pPr>
        <w:numPr>
          <w:ilvl w:val="0"/>
          <w:numId w:val="1"/>
        </w:numPr>
        <w:ind w:left="720" w:hanging="360"/>
        <w:rPr>
          <w:color w:val="000000"/>
          <w:sz w:val="22"/>
          <w:szCs w:val="22"/>
        </w:rPr>
      </w:pPr>
      <w:r w:rsidDel="00000000" w:rsidR="00000000" w:rsidRPr="00000000">
        <w:rPr>
          <w:color w:val="000000"/>
          <w:sz w:val="22"/>
          <w:szCs w:val="22"/>
          <w:rtl w:val="0"/>
        </w:rPr>
        <w:t xml:space="preserve">Wallis MC, McGrail M, Webster J, Marsh N, Gowardman J, Playford EG, et al. Risk factors for peripheral intravenous catheter failure: a multivariate analysis of data from a randomized controlled trial. Infect Control Hosp Epidemiol. 2014; 35(01):63-8.</w:t>
      </w:r>
    </w:p>
    <w:p w:rsidR="00000000" w:rsidDel="00000000" w:rsidP="00000000" w:rsidRDefault="00000000" w:rsidRPr="00000000" w14:paraId="0000008E">
      <w:pPr>
        <w:numPr>
          <w:ilvl w:val="0"/>
          <w:numId w:val="1"/>
        </w:numPr>
        <w:ind w:left="720" w:hanging="360"/>
        <w:rPr>
          <w:color w:val="000000"/>
          <w:sz w:val="22"/>
          <w:szCs w:val="22"/>
        </w:rPr>
      </w:pPr>
      <w:r w:rsidDel="00000000" w:rsidR="00000000" w:rsidRPr="00000000">
        <w:rPr>
          <w:color w:val="000000"/>
          <w:sz w:val="22"/>
          <w:szCs w:val="22"/>
          <w:rtl w:val="0"/>
        </w:rPr>
        <w:t xml:space="preserve">Sociedad Española de Medicina Preventiva, Salud Pública e Higiene. Informe España Prevalencia de infecciones (relacionadas con la asistencia sanitaria y comuni</w:t>
      </w:r>
      <w:r w:rsidDel="00000000" w:rsidR="00000000" w:rsidRPr="00000000">
        <w:rPr>
          <w:rtl w:val="0"/>
        </w:rPr>
      </w:r>
    </w:p>
    <w:p w:rsidR="00000000" w:rsidDel="00000000" w:rsidP="00000000" w:rsidRDefault="00000000" w:rsidRPr="00000000" w14:paraId="0000008F">
      <w:pPr>
        <w:numPr>
          <w:ilvl w:val="0"/>
          <w:numId w:val="1"/>
        </w:numPr>
        <w:ind w:left="720" w:hanging="360"/>
        <w:rPr>
          <w:color w:val="000000"/>
          <w:sz w:val="22"/>
          <w:szCs w:val="22"/>
        </w:rPr>
      </w:pPr>
      <w:r w:rsidDel="00000000" w:rsidR="00000000" w:rsidRPr="00000000">
        <w:rPr>
          <w:color w:val="000000"/>
          <w:sz w:val="22"/>
          <w:szCs w:val="22"/>
          <w:rtl w:val="0"/>
        </w:rPr>
        <w:t xml:space="preserve">tarias) y uso de antimicrobianos en hospitales de agudos. EPINE: Madrid. 2021</w:t>
      </w:r>
    </w:p>
    <w:p w:rsidR="00000000" w:rsidDel="00000000" w:rsidP="00000000" w:rsidRDefault="00000000" w:rsidRPr="00000000" w14:paraId="00000090">
      <w:pPr>
        <w:numPr>
          <w:ilvl w:val="0"/>
          <w:numId w:val="1"/>
        </w:numPr>
        <w:ind w:left="720" w:hanging="360"/>
        <w:rPr>
          <w:color w:val="000000"/>
          <w:sz w:val="22"/>
          <w:szCs w:val="22"/>
        </w:rPr>
      </w:pPr>
      <w:r w:rsidDel="00000000" w:rsidR="00000000" w:rsidRPr="00000000">
        <w:rPr>
          <w:color w:val="000000"/>
          <w:sz w:val="22"/>
          <w:szCs w:val="22"/>
          <w:rtl w:val="0"/>
        </w:rPr>
        <w:t xml:space="preserve">Sociedad Española de Medicina Preventiva, Salud Pública e Higiene. Informe España Prevalencia de infecciones (relacionadas con la asistencia sanitaria y comunitarias) y uso de antimicrobianos en hospitales de agudos. EPINE: Madrid. 2017</w:t>
      </w:r>
    </w:p>
    <w:p w:rsidR="00000000" w:rsidDel="00000000" w:rsidP="00000000" w:rsidRDefault="00000000" w:rsidRPr="00000000" w14:paraId="00000091">
      <w:pPr>
        <w:numPr>
          <w:ilvl w:val="0"/>
          <w:numId w:val="1"/>
        </w:numPr>
        <w:ind w:left="720" w:hanging="360"/>
        <w:rPr>
          <w:sz w:val="22"/>
          <w:szCs w:val="22"/>
          <w:u w:val="none"/>
        </w:rPr>
      </w:pPr>
      <w:r w:rsidDel="00000000" w:rsidR="00000000" w:rsidRPr="00000000">
        <w:rPr>
          <w:rtl w:val="0"/>
        </w:rPr>
      </w:r>
    </w:p>
    <w:p w:rsidR="00000000" w:rsidDel="00000000" w:rsidP="00000000" w:rsidRDefault="00000000" w:rsidRPr="00000000" w14:paraId="00000092">
      <w:pPr>
        <w:numPr>
          <w:ilvl w:val="0"/>
          <w:numId w:val="1"/>
        </w:numPr>
        <w:ind w:left="720" w:hanging="360"/>
        <w:rPr>
          <w:color w:val="000000"/>
          <w:sz w:val="22"/>
          <w:szCs w:val="22"/>
        </w:rPr>
      </w:pPr>
      <w:r w:rsidDel="00000000" w:rsidR="00000000" w:rsidRPr="00000000">
        <w:rPr>
          <w:color w:val="000000"/>
          <w:sz w:val="22"/>
          <w:szCs w:val="22"/>
          <w:highlight w:val="white"/>
          <w:rtl w:val="0"/>
        </w:rPr>
        <w:t xml:space="preserve">Ferraz M, Mañeru A, Corcuera MI, Díez A, Aldonza M, Escobedo RL, et al. </w:t>
      </w:r>
      <w:r w:rsidDel="00000000" w:rsidR="00000000" w:rsidRPr="00000000">
        <w:rPr>
          <w:color w:val="000000"/>
          <w:sz w:val="22"/>
          <w:szCs w:val="22"/>
          <w:rtl w:val="0"/>
        </w:rPr>
        <w:t xml:space="preserve">Implantación de una unidad de Terapia Intravenosa: Una realidad en marcha.</w:t>
      </w:r>
      <w:r w:rsidDel="00000000" w:rsidR="00000000" w:rsidRPr="00000000">
        <w:rPr>
          <w:color w:val="000000"/>
          <w:sz w:val="22"/>
          <w:szCs w:val="22"/>
          <w:highlight w:val="white"/>
          <w:rtl w:val="0"/>
        </w:rPr>
        <w:t xml:space="preserve"> Rev ROL Enferm 2018; 41(9): 8-16. Disponible en: </w:t>
      </w:r>
      <w:hyperlink r:id="rId7">
        <w:r w:rsidDel="00000000" w:rsidR="00000000" w:rsidRPr="00000000">
          <w:rPr>
            <w:color w:val="000000"/>
            <w:sz w:val="22"/>
            <w:szCs w:val="22"/>
            <w:highlight w:val="white"/>
            <w:u w:val="single"/>
            <w:rtl w:val="0"/>
          </w:rPr>
          <w:t xml:space="preserve">https://medes.com/publication/141805</w:t>
        </w:r>
      </w:hyperlink>
      <w:r w:rsidDel="00000000" w:rsidR="00000000" w:rsidRPr="00000000">
        <w:rPr>
          <w:color w:val="000000"/>
          <w:sz w:val="22"/>
          <w:szCs w:val="22"/>
          <w:rtl w:val="0"/>
        </w:rPr>
        <w:t xml:space="preserve">. </w:t>
      </w:r>
    </w:p>
    <w:p w:rsidR="00000000" w:rsidDel="00000000" w:rsidP="00000000" w:rsidRDefault="00000000" w:rsidRPr="00000000" w14:paraId="00000093">
      <w:pPr>
        <w:numPr>
          <w:ilvl w:val="0"/>
          <w:numId w:val="1"/>
        </w:numPr>
        <w:ind w:left="720" w:hanging="360"/>
        <w:rPr>
          <w:color w:val="000000"/>
          <w:sz w:val="22"/>
          <w:szCs w:val="22"/>
        </w:rPr>
      </w:pPr>
      <w:r w:rsidDel="00000000" w:rsidR="00000000" w:rsidRPr="00000000">
        <w:rPr>
          <w:color w:val="000000"/>
          <w:sz w:val="22"/>
          <w:szCs w:val="22"/>
          <w:rtl w:val="0"/>
        </w:rPr>
        <w:t xml:space="preserve">de Souza Urbanetto J, Peixoto CG, May TA. Incidencia de flebitis durante el uso y después de la retirada de catéter intravenoso periférico. Rev Lat Am. 2016; 24: 27-46 </w:t>
      </w:r>
      <w:hyperlink r:id="rId8">
        <w:r w:rsidDel="00000000" w:rsidR="00000000" w:rsidRPr="00000000">
          <w:rPr>
            <w:color w:val="1155cc"/>
            <w:sz w:val="22"/>
            <w:szCs w:val="22"/>
            <w:u w:val="single"/>
            <w:rtl w:val="0"/>
          </w:rPr>
          <w:t xml:space="preserve">https://doi.org/10.1590/1518-8345.0604.2746</w:t>
        </w:r>
      </w:hyperlink>
      <w:r w:rsidDel="00000000" w:rsidR="00000000" w:rsidRPr="00000000">
        <w:rPr>
          <w:rtl w:val="0"/>
        </w:rPr>
      </w:r>
    </w:p>
    <w:p w:rsidR="00000000" w:rsidDel="00000000" w:rsidP="00000000" w:rsidRDefault="00000000" w:rsidRPr="00000000" w14:paraId="00000094">
      <w:pPr>
        <w:numPr>
          <w:ilvl w:val="0"/>
          <w:numId w:val="1"/>
        </w:numPr>
        <w:ind w:left="720" w:hanging="360"/>
        <w:rPr>
          <w:color w:val="000000"/>
          <w:sz w:val="22"/>
          <w:szCs w:val="22"/>
        </w:rPr>
      </w:pPr>
      <w:r w:rsidDel="00000000" w:rsidR="00000000" w:rsidRPr="00000000">
        <w:rPr>
          <w:color w:val="000000"/>
          <w:sz w:val="22"/>
          <w:szCs w:val="22"/>
          <w:rtl w:val="0"/>
        </w:rPr>
        <w:t xml:space="preserve">Gorski LA, Hadaway L, Hagle ME, et al. </w:t>
      </w:r>
      <w:r w:rsidDel="00000000" w:rsidR="00000000" w:rsidRPr="00000000">
        <w:rPr>
          <w:i w:val="1"/>
          <w:color w:val="000000"/>
          <w:sz w:val="22"/>
          <w:szCs w:val="22"/>
          <w:rtl w:val="0"/>
        </w:rPr>
        <w:t xml:space="preserve">Infusion Therapy Standars of practice, 8th Edition</w:t>
      </w:r>
      <w:r w:rsidDel="00000000" w:rsidR="00000000" w:rsidRPr="00000000">
        <w:rPr>
          <w:color w:val="000000"/>
          <w:sz w:val="22"/>
          <w:szCs w:val="22"/>
          <w:rtl w:val="0"/>
        </w:rPr>
        <w:t xml:space="preserve">. J Infus Nurs. 2021; 44(1S), S1-S224. Doi: 10.1097/NAN.0000000000000396.</w:t>
      </w:r>
    </w:p>
    <w:p w:rsidR="00000000" w:rsidDel="00000000" w:rsidP="00000000" w:rsidRDefault="00000000" w:rsidRPr="00000000" w14:paraId="00000095">
      <w:pPr>
        <w:numPr>
          <w:ilvl w:val="0"/>
          <w:numId w:val="1"/>
        </w:numPr>
        <w:ind w:left="720" w:hanging="360"/>
        <w:rPr>
          <w:color w:val="000000"/>
          <w:sz w:val="22"/>
          <w:szCs w:val="22"/>
        </w:rPr>
      </w:pPr>
      <w:r w:rsidDel="00000000" w:rsidR="00000000" w:rsidRPr="00000000">
        <w:rPr>
          <w:color w:val="000000"/>
          <w:sz w:val="22"/>
          <w:szCs w:val="22"/>
          <w:rtl w:val="0"/>
        </w:rPr>
        <w:t xml:space="preserve">Del Río C, Corredor R, Cubero MA, La Fuente E, Lasso de la Vega C. </w:t>
      </w:r>
      <w:r w:rsidDel="00000000" w:rsidR="00000000" w:rsidRPr="00000000">
        <w:rPr>
          <w:i w:val="1"/>
          <w:color w:val="000000"/>
          <w:sz w:val="22"/>
          <w:szCs w:val="22"/>
          <w:rtl w:val="0"/>
        </w:rPr>
        <w:t xml:space="preserve">Excelencia en la creación de Equipos de Infusión y Acceso Vascular.</w:t>
      </w:r>
      <w:r w:rsidDel="00000000" w:rsidR="00000000" w:rsidRPr="00000000">
        <w:rPr>
          <w:color w:val="000000"/>
          <w:sz w:val="22"/>
          <w:szCs w:val="22"/>
          <w:rtl w:val="0"/>
        </w:rPr>
        <w:t xml:space="preserve"> Sociedad Española de infusión y acceso vascular. Madrid. Ed. MAYO S.A. 2020.</w:t>
      </w:r>
    </w:p>
    <w:p w:rsidR="00000000" w:rsidDel="00000000" w:rsidP="00000000" w:rsidRDefault="00000000" w:rsidRPr="00000000" w14:paraId="00000096">
      <w:pPr>
        <w:numPr>
          <w:ilvl w:val="0"/>
          <w:numId w:val="1"/>
        </w:numPr>
        <w:ind w:left="720" w:hanging="360"/>
        <w:rPr>
          <w:color w:val="000000"/>
          <w:sz w:val="22"/>
          <w:szCs w:val="22"/>
        </w:rPr>
      </w:pPr>
      <w:r w:rsidDel="00000000" w:rsidR="00000000" w:rsidRPr="00000000">
        <w:rPr>
          <w:color w:val="000000"/>
          <w:sz w:val="22"/>
          <w:szCs w:val="22"/>
          <w:rtl w:val="0"/>
        </w:rPr>
        <w:t xml:space="preserve">Organización Mundial de la Salud. Seguridad del Paciente. Informe Técnico Definitivo (Monografía de Internet) 2019. </w:t>
      </w:r>
      <w:hyperlink r:id="rId9">
        <w:r w:rsidDel="00000000" w:rsidR="00000000" w:rsidRPr="00000000">
          <w:rPr>
            <w:color w:val="1155cc"/>
            <w:sz w:val="22"/>
            <w:szCs w:val="22"/>
            <w:u w:val="single"/>
            <w:rtl w:val="0"/>
          </w:rPr>
          <w:t xml:space="preserve">https://www.who.int/es/news-room/fact-sheets/detail/patient-safety</w:t>
        </w:r>
      </w:hyperlink>
      <w:r w:rsidDel="00000000" w:rsidR="00000000" w:rsidRPr="00000000">
        <w:rPr>
          <w:rtl w:val="0"/>
        </w:rPr>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Aranaz Jm, Moya C. Seguridad del paciente y calidad asistencial. Rev. Calid Asist. 2011; 26(6): 331-2. </w:t>
      </w:r>
    </w:p>
    <w:p w:rsidR="00000000" w:rsidDel="00000000" w:rsidP="00000000" w:rsidRDefault="00000000" w:rsidRPr="00000000" w14:paraId="00000098">
      <w:pPr>
        <w:numPr>
          <w:ilvl w:val="0"/>
          <w:numId w:val="1"/>
        </w:numPr>
        <w:ind w:left="720" w:hanging="360"/>
        <w:rPr>
          <w:color w:val="000000"/>
          <w:sz w:val="22"/>
          <w:szCs w:val="22"/>
        </w:rPr>
      </w:pPr>
      <w:r w:rsidDel="00000000" w:rsidR="00000000" w:rsidRPr="00000000">
        <w:rPr>
          <w:color w:val="000000"/>
          <w:sz w:val="22"/>
          <w:szCs w:val="22"/>
          <w:rtl w:val="0"/>
        </w:rPr>
        <w:t xml:space="preserve">Sociedad española de Medicina Preventiva. Salud Pública e Higiene. Proyecto Piloto Multicéntrico. Estrategia Multifactorial “Flebitis Zero". 2015</w:t>
      </w:r>
    </w:p>
    <w:p w:rsidR="00000000" w:rsidDel="00000000" w:rsidP="00000000" w:rsidRDefault="00000000" w:rsidRPr="00000000" w14:paraId="00000099">
      <w:pPr>
        <w:numPr>
          <w:ilvl w:val="0"/>
          <w:numId w:val="1"/>
        </w:numPr>
        <w:ind w:left="720" w:hanging="360"/>
        <w:rPr>
          <w:color w:val="000000"/>
          <w:sz w:val="22"/>
          <w:szCs w:val="22"/>
        </w:rPr>
      </w:pPr>
      <w:r w:rsidDel="00000000" w:rsidR="00000000" w:rsidRPr="00000000">
        <w:rPr>
          <w:color w:val="000000"/>
          <w:sz w:val="22"/>
          <w:szCs w:val="22"/>
          <w:rtl w:val="0"/>
        </w:rPr>
        <w:t xml:space="preserve">NANDA INTERNACIONAL. Diagnósticos enfermeros. Definiciones y clasificación 2018-2020.11a ed. Barcelona: Elsevier. España S.L.U 2019</w:t>
      </w:r>
    </w:p>
    <w:p w:rsidR="00000000" w:rsidDel="00000000" w:rsidP="00000000" w:rsidRDefault="00000000" w:rsidRPr="00000000" w14:paraId="0000009A">
      <w:pPr>
        <w:numPr>
          <w:ilvl w:val="0"/>
          <w:numId w:val="1"/>
        </w:numPr>
        <w:ind w:left="720" w:hanging="360"/>
        <w:rPr>
          <w:color w:val="000000"/>
          <w:sz w:val="22"/>
          <w:szCs w:val="22"/>
        </w:rPr>
      </w:pPr>
      <w:r w:rsidDel="00000000" w:rsidR="00000000" w:rsidRPr="00000000">
        <w:rPr>
          <w:color w:val="000000"/>
          <w:sz w:val="22"/>
          <w:szCs w:val="22"/>
          <w:rtl w:val="0"/>
        </w:rPr>
        <w:t xml:space="preserve">Ferraz-Torres M, Corcuera Martínez MI, Sancho Sena E, Aldonza-Torres M, Maali Centeno S, Martínez-Ortega MC et al. Estudio experimental aleatorizado para la evaluación de la efectividad del proyecto Flebitis Zero en Navarra. Anal Sist Navarra [Internet]. 2021; 44(3): 417-26. Disponible en: </w:t>
      </w:r>
      <w:hyperlink r:id="rId10">
        <w:r w:rsidDel="00000000" w:rsidR="00000000" w:rsidRPr="00000000">
          <w:rPr>
            <w:color w:val="0000ff"/>
            <w:sz w:val="22"/>
            <w:szCs w:val="22"/>
            <w:u w:val="single"/>
            <w:rtl w:val="0"/>
          </w:rPr>
          <w:t xml:space="preserve">http://scielo.isciii.es/scielo.php?script=sci_arttext&amp;pid=S1137-66272021000300417&amp;lng=es</w:t>
        </w:r>
      </w:hyperlink>
      <w:r w:rsidDel="00000000" w:rsidR="00000000" w:rsidRPr="00000000">
        <w:rPr>
          <w:rtl w:val="0"/>
        </w:rPr>
      </w:r>
    </w:p>
    <w:p w:rsidR="00000000" w:rsidDel="00000000" w:rsidP="00000000" w:rsidRDefault="00000000" w:rsidRPr="00000000" w14:paraId="0000009B">
      <w:pPr>
        <w:numPr>
          <w:ilvl w:val="0"/>
          <w:numId w:val="1"/>
        </w:numPr>
        <w:ind w:left="720" w:hanging="360"/>
        <w:rPr>
          <w:color w:val="000000"/>
          <w:sz w:val="22"/>
          <w:szCs w:val="22"/>
        </w:rPr>
      </w:pPr>
      <w:r w:rsidDel="00000000" w:rsidR="00000000" w:rsidRPr="00000000">
        <w:rPr>
          <w:color w:val="000000"/>
          <w:sz w:val="22"/>
          <w:szCs w:val="22"/>
          <w:rtl w:val="0"/>
        </w:rPr>
        <w:t xml:space="preserve">Rojas-Sánchez LZ; Parra DI; Camargo-Figuera FA.  Incidencia y factores asociados al desarrollo de flebitis: resultados del estudio piloto de una cohorte. Rev. Enf Ref. 2015; (4): 61-7. Disponible en: http://scielo.pt/scielo.php?script=sci_arttext&amp;pid=S0874-02832015000100007&amp;lng=p  </w:t>
      </w:r>
    </w:p>
    <w:p w:rsidR="00000000" w:rsidDel="00000000" w:rsidP="00000000" w:rsidRDefault="00000000" w:rsidRPr="00000000" w14:paraId="0000009C">
      <w:pPr>
        <w:numPr>
          <w:ilvl w:val="0"/>
          <w:numId w:val="1"/>
        </w:numPr>
        <w:ind w:left="720" w:hanging="360"/>
        <w:rPr>
          <w:color w:val="000000"/>
          <w:sz w:val="22"/>
          <w:szCs w:val="22"/>
        </w:rPr>
      </w:pPr>
      <w:r w:rsidDel="00000000" w:rsidR="00000000" w:rsidRPr="00000000">
        <w:rPr>
          <w:color w:val="000000"/>
          <w:sz w:val="22"/>
          <w:szCs w:val="22"/>
          <w:rtl w:val="0"/>
        </w:rPr>
        <w:t xml:space="preserve">Mitzy Tannia Reichembach Danski, Gabriella Lemes Rodrigues de Oliveira Derdried Athanasio, Johann Edivane Pedrolo, Stela Adami Vayego. Incidence of local complications in peripheral venous catheters and associated risk factors. Acta Paulista Enfermagem. 2015; 28:517-23.</w:t>
      </w:r>
    </w:p>
    <w:p w:rsidR="00000000" w:rsidDel="00000000" w:rsidP="00000000" w:rsidRDefault="00000000" w:rsidRPr="00000000" w14:paraId="0000009D">
      <w:pPr>
        <w:numPr>
          <w:ilvl w:val="0"/>
          <w:numId w:val="1"/>
        </w:numPr>
        <w:ind w:left="720" w:hanging="360"/>
        <w:rPr>
          <w:color w:val="000000"/>
          <w:sz w:val="22"/>
          <w:szCs w:val="22"/>
        </w:rPr>
      </w:pPr>
      <w:r w:rsidDel="00000000" w:rsidR="00000000" w:rsidRPr="00000000">
        <w:rPr>
          <w:color w:val="000000"/>
          <w:sz w:val="22"/>
          <w:szCs w:val="22"/>
          <w:rtl w:val="0"/>
        </w:rPr>
        <w:t xml:space="preserve">Magerote NO, Lima MHM, Silva JB, Correia MDL, Secoli SR. Asociación entre flebitis y retirada de catéter intravenoso periférico. Enferm. 2011;20(3):486-92.</w:t>
      </w:r>
      <w:r w:rsidDel="00000000" w:rsidR="00000000" w:rsidRPr="00000000">
        <w:rPr>
          <w:rtl w:val="0"/>
        </w:rPr>
      </w:r>
    </w:p>
    <w:p w:rsidR="00000000" w:rsidDel="00000000" w:rsidP="00000000" w:rsidRDefault="00000000" w:rsidRPr="00000000" w14:paraId="0000009E">
      <w:pPr>
        <w:numPr>
          <w:ilvl w:val="0"/>
          <w:numId w:val="1"/>
        </w:numPr>
        <w:ind w:left="720" w:hanging="360"/>
        <w:rPr>
          <w:color w:val="000000"/>
          <w:sz w:val="22"/>
          <w:szCs w:val="22"/>
        </w:rPr>
      </w:pPr>
      <w:r w:rsidDel="00000000" w:rsidR="00000000" w:rsidRPr="00000000">
        <w:rPr>
          <w:sz w:val="22"/>
          <w:szCs w:val="22"/>
          <w:rtl w:val="0"/>
        </w:rPr>
        <w:t xml:space="preserve">Cicolini G, Manzoli L, Simonetti V, Flacco ME, Comparcini D, Capasso L, et al. Phlebitis risk varies by peripheral venous catheter site and increases after 96h: a larger multi-centre prospective study. J Adv Nurs. 2014; 70(11):2539-49.</w:t>
      </w:r>
    </w:p>
    <w:p w:rsidR="00000000" w:rsidDel="00000000" w:rsidP="00000000" w:rsidRDefault="00000000" w:rsidRPr="00000000" w14:paraId="0000009F">
      <w:pPr>
        <w:numPr>
          <w:ilvl w:val="0"/>
          <w:numId w:val="1"/>
        </w:numPr>
        <w:ind w:left="720" w:hanging="360"/>
        <w:rPr>
          <w:color w:val="000000"/>
          <w:sz w:val="22"/>
          <w:szCs w:val="22"/>
        </w:rPr>
      </w:pPr>
      <w:r w:rsidDel="00000000" w:rsidR="00000000" w:rsidRPr="00000000">
        <w:rPr>
          <w:color w:val="000000"/>
          <w:sz w:val="22"/>
          <w:szCs w:val="22"/>
          <w:rtl w:val="0"/>
        </w:rPr>
        <w:t xml:space="preserve">Muniz Braga L, Miguel Parreira P, de Sousa Salgueiro Oliveira A, dos Santos Mendes Mónico L, Arreguy-Sena C, Henriques MA. Phlebitis and infiltration: vascular trauma associated with the peripheral venous catheter. Rev. Latino-Am. Enfermagem.2018;26: e3002.</w:t>
      </w:r>
    </w:p>
    <w:p w:rsidR="00000000" w:rsidDel="00000000" w:rsidP="00000000" w:rsidRDefault="00000000" w:rsidRPr="00000000" w14:paraId="000000A0">
      <w:pPr>
        <w:numPr>
          <w:ilvl w:val="0"/>
          <w:numId w:val="1"/>
        </w:numPr>
        <w:ind w:left="720" w:hanging="360"/>
        <w:rPr>
          <w:color w:val="000000"/>
          <w:sz w:val="22"/>
          <w:szCs w:val="22"/>
        </w:rPr>
      </w:pPr>
      <w:r w:rsidDel="00000000" w:rsidR="00000000" w:rsidRPr="00000000">
        <w:rPr>
          <w:color w:val="000000"/>
          <w:sz w:val="22"/>
          <w:szCs w:val="22"/>
          <w:rtl w:val="0"/>
        </w:rPr>
        <w:t xml:space="preserve">Regueiro Pose MA, Souto Rodríguez B, Iglesias Maroño M, Outón Fernández I, Cambreiro Núñez J. Pértega Díaz S, et al. Catéteres venosos periféricos: incidencia de flebitis y sus factores determinantes. Rev ROL Enf. 2005; 28 (10):21-8.</w:t>
      </w:r>
    </w:p>
    <w:p w:rsidR="00000000" w:rsidDel="00000000" w:rsidP="00000000" w:rsidRDefault="00000000" w:rsidRPr="00000000" w14:paraId="000000A1">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2">
      <w:pPr>
        <w:rPr>
          <w:sz w:val="22"/>
          <w:szCs w:val="22"/>
        </w:rPr>
      </w:pPr>
      <w:r w:rsidDel="00000000" w:rsidR="00000000" w:rsidRPr="00000000">
        <w:rPr>
          <w:rtl w:val="0"/>
        </w:rPr>
      </w:r>
    </w:p>
    <w:p w:rsidR="00000000" w:rsidDel="00000000" w:rsidP="00000000" w:rsidRDefault="00000000" w:rsidRPr="00000000" w14:paraId="000000A3">
      <w:pPr>
        <w:rPr>
          <w:sz w:val="22"/>
          <w:szCs w:val="22"/>
        </w:rPr>
      </w:pPr>
      <w:r w:rsidDel="00000000" w:rsidR="00000000" w:rsidRPr="00000000">
        <w:rPr>
          <w:rtl w:val="0"/>
        </w:rPr>
      </w:r>
    </w:p>
    <w:p w:rsidR="00000000" w:rsidDel="00000000" w:rsidP="00000000" w:rsidRDefault="00000000" w:rsidRPr="00000000" w14:paraId="000000A4">
      <w:pPr>
        <w:rPr>
          <w:sz w:val="22"/>
          <w:szCs w:val="22"/>
        </w:rPr>
      </w:pPr>
      <w:r w:rsidDel="00000000" w:rsidR="00000000" w:rsidRPr="00000000">
        <w:rPr>
          <w:rtl w:val="0"/>
        </w:rPr>
      </w:r>
    </w:p>
    <w:p w:rsidR="00000000" w:rsidDel="00000000" w:rsidP="00000000" w:rsidRDefault="00000000" w:rsidRPr="00000000" w14:paraId="000000A5">
      <w:pPr>
        <w:rPr>
          <w:color w:val="000000"/>
          <w:sz w:val="22"/>
          <w:szCs w:val="22"/>
        </w:rPr>
      </w:pPr>
      <w:r w:rsidDel="00000000" w:rsidR="00000000" w:rsidRPr="00000000">
        <w:rPr>
          <w:color w:val="000000"/>
          <w:sz w:val="22"/>
          <w:szCs w:val="22"/>
          <w:rtl w:val="0"/>
        </w:rPr>
        <w:t xml:space="preserve">ANEXOS.</w:t>
      </w:r>
    </w:p>
    <w:p w:rsidR="00000000" w:rsidDel="00000000" w:rsidP="00000000" w:rsidRDefault="00000000" w:rsidRPr="00000000" w14:paraId="000000A6">
      <w:pPr>
        <w:rPr>
          <w:color w:val="000000"/>
          <w:sz w:val="4"/>
          <w:szCs w:val="4"/>
        </w:rPr>
      </w:pPr>
      <w:r w:rsidDel="00000000" w:rsidR="00000000" w:rsidRPr="00000000">
        <w:rPr>
          <w:rtl w:val="0"/>
        </w:rPr>
      </w:r>
    </w:p>
    <w:bookmarkStart w:colFirst="0" w:colLast="0" w:name="bookmark=id.3znysh7" w:id="0"/>
    <w:bookmarkEnd w:id="0"/>
    <w:p w:rsidR="00000000" w:rsidDel="00000000" w:rsidP="00000000" w:rsidRDefault="00000000" w:rsidRPr="00000000" w14:paraId="000000A7">
      <w:pPr>
        <w:rPr>
          <w:sz w:val="22"/>
          <w:szCs w:val="22"/>
        </w:rPr>
      </w:pPr>
      <w:r w:rsidDel="00000000" w:rsidR="00000000" w:rsidRPr="00000000">
        <w:rPr>
          <w:b w:val="1"/>
          <w:sz w:val="22"/>
          <w:szCs w:val="22"/>
          <w:rtl w:val="0"/>
        </w:rPr>
        <w:t xml:space="preserve">Figura 1</w:t>
      </w:r>
      <w:r w:rsidDel="00000000" w:rsidR="00000000" w:rsidRPr="00000000">
        <w:rPr>
          <w:sz w:val="22"/>
          <w:szCs w:val="22"/>
          <w:rtl w:val="0"/>
        </w:rPr>
        <w:t xml:space="preserve">. Escala de valoración visual de flebitis. </w:t>
      </w:r>
      <w:r w:rsidDel="00000000" w:rsidR="00000000" w:rsidRPr="00000000">
        <w:rPr>
          <w:color w:val="000000"/>
          <w:sz w:val="22"/>
          <w:szCs w:val="22"/>
          <w:vertAlign w:val="superscript"/>
          <w:rtl w:val="0"/>
        </w:rPr>
        <w:t xml:space="preserve">16</w:t>
      </w: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1272"/>
        <w:gridCol w:w="2832"/>
        <w:tblGridChange w:id="0">
          <w:tblGrid>
            <w:gridCol w:w="4390"/>
            <w:gridCol w:w="1272"/>
            <w:gridCol w:w="2832"/>
          </w:tblGrid>
        </w:tblGridChange>
      </w:tblGrid>
      <w:tr>
        <w:trPr>
          <w:cantSplit w:val="0"/>
          <w:tblHeader w:val="0"/>
        </w:trPr>
        <w:tc>
          <w:tcPr>
            <w:shd w:fill="deebf6" w:val="clear"/>
          </w:tcPr>
          <w:p w:rsidR="00000000" w:rsidDel="00000000" w:rsidP="00000000" w:rsidRDefault="00000000" w:rsidRPr="00000000" w14:paraId="000000A8">
            <w:pPr>
              <w:rPr>
                <w:sz w:val="18"/>
                <w:szCs w:val="18"/>
              </w:rPr>
            </w:pPr>
            <w:r w:rsidDel="00000000" w:rsidR="00000000" w:rsidRPr="00000000">
              <w:rPr>
                <w:sz w:val="18"/>
                <w:szCs w:val="18"/>
                <w:rtl w:val="0"/>
              </w:rPr>
              <w:t xml:space="preserve">Sin dolor, eritema, hinchazón ni cordón palpable</w:t>
            </w:r>
          </w:p>
        </w:tc>
        <w:tc>
          <w:tcPr>
            <w:shd w:fill="acb9ca" w:val="clear"/>
          </w:tcPr>
          <w:p w:rsidR="00000000" w:rsidDel="00000000" w:rsidP="00000000" w:rsidRDefault="00000000" w:rsidRPr="00000000" w14:paraId="000000A9">
            <w:pPr>
              <w:rPr>
                <w:sz w:val="18"/>
                <w:szCs w:val="18"/>
              </w:rPr>
            </w:pPr>
            <w:r w:rsidDel="00000000" w:rsidR="00000000" w:rsidRPr="00000000">
              <w:rPr>
                <w:sz w:val="18"/>
                <w:szCs w:val="18"/>
                <w:rtl w:val="0"/>
              </w:rPr>
              <w:t xml:space="preserve">0</w:t>
            </w:r>
          </w:p>
        </w:tc>
        <w:tc>
          <w:tcPr>
            <w:shd w:fill="99ff99" w:val="clear"/>
          </w:tcPr>
          <w:p w:rsidR="00000000" w:rsidDel="00000000" w:rsidP="00000000" w:rsidRDefault="00000000" w:rsidRPr="00000000" w14:paraId="000000AA">
            <w:pPr>
              <w:rPr>
                <w:sz w:val="18"/>
                <w:szCs w:val="18"/>
              </w:rPr>
            </w:pPr>
            <w:r w:rsidDel="00000000" w:rsidR="00000000" w:rsidRPr="00000000">
              <w:rPr>
                <w:sz w:val="18"/>
                <w:szCs w:val="18"/>
                <w:rtl w:val="0"/>
              </w:rPr>
              <w:t xml:space="preserve">NO signos de flebitis</w:t>
            </w:r>
          </w:p>
          <w:p w:rsidR="00000000" w:rsidDel="00000000" w:rsidP="00000000" w:rsidRDefault="00000000" w:rsidRPr="00000000" w14:paraId="000000AB">
            <w:pPr>
              <w:rPr>
                <w:sz w:val="18"/>
                <w:szCs w:val="18"/>
              </w:rPr>
            </w:pPr>
            <w:r w:rsidDel="00000000" w:rsidR="00000000" w:rsidRPr="00000000">
              <w:rPr>
                <w:sz w:val="18"/>
                <w:szCs w:val="18"/>
                <w:rtl w:val="0"/>
              </w:rPr>
              <w:t xml:space="preserve">OBSERVE punto de inserción</w:t>
            </w:r>
          </w:p>
        </w:tc>
      </w:tr>
      <w:tr>
        <w:trPr>
          <w:cantSplit w:val="0"/>
          <w:tblHeader w:val="0"/>
        </w:trPr>
        <w:tc>
          <w:tcPr>
            <w:shd w:fill="ffcccc" w:val="clear"/>
          </w:tcPr>
          <w:p w:rsidR="00000000" w:rsidDel="00000000" w:rsidP="00000000" w:rsidRDefault="00000000" w:rsidRPr="00000000" w14:paraId="000000AC">
            <w:pPr>
              <w:rPr>
                <w:sz w:val="18"/>
                <w:szCs w:val="18"/>
              </w:rPr>
            </w:pPr>
            <w:r w:rsidDel="00000000" w:rsidR="00000000" w:rsidRPr="00000000">
              <w:rPr>
                <w:sz w:val="18"/>
                <w:szCs w:val="18"/>
                <w:rtl w:val="0"/>
              </w:rPr>
              <w:t xml:space="preserve">Dolor sin eritema, hinchazón ni cordón palpable en la zona de punción</w:t>
            </w:r>
          </w:p>
        </w:tc>
        <w:tc>
          <w:tcPr>
            <w:shd w:fill="acb9ca" w:val="clear"/>
          </w:tcPr>
          <w:p w:rsidR="00000000" w:rsidDel="00000000" w:rsidP="00000000" w:rsidRDefault="00000000" w:rsidRPr="00000000" w14:paraId="000000AD">
            <w:pPr>
              <w:rPr>
                <w:sz w:val="18"/>
                <w:szCs w:val="18"/>
              </w:rPr>
            </w:pPr>
            <w:r w:rsidDel="00000000" w:rsidR="00000000" w:rsidRPr="00000000">
              <w:rPr>
                <w:sz w:val="18"/>
                <w:szCs w:val="18"/>
                <w:rtl w:val="0"/>
              </w:rPr>
              <w:t xml:space="preserve">1</w:t>
            </w:r>
          </w:p>
        </w:tc>
        <w:tc>
          <w:tcPr>
            <w:shd w:fill="ffff99" w:val="clear"/>
          </w:tcPr>
          <w:p w:rsidR="00000000" w:rsidDel="00000000" w:rsidP="00000000" w:rsidRDefault="00000000" w:rsidRPr="00000000" w14:paraId="000000AE">
            <w:pPr>
              <w:rPr>
                <w:sz w:val="18"/>
                <w:szCs w:val="18"/>
              </w:rPr>
            </w:pPr>
            <w:r w:rsidDel="00000000" w:rsidR="00000000" w:rsidRPr="00000000">
              <w:rPr>
                <w:sz w:val="18"/>
                <w:szCs w:val="18"/>
                <w:rtl w:val="0"/>
              </w:rPr>
              <w:t xml:space="preserve">Posible signo de flebitis</w:t>
            </w:r>
          </w:p>
          <w:p w:rsidR="00000000" w:rsidDel="00000000" w:rsidP="00000000" w:rsidRDefault="00000000" w:rsidRPr="00000000" w14:paraId="000000AF">
            <w:pPr>
              <w:rPr>
                <w:sz w:val="18"/>
                <w:szCs w:val="18"/>
              </w:rPr>
            </w:pPr>
            <w:r w:rsidDel="00000000" w:rsidR="00000000" w:rsidRPr="00000000">
              <w:rPr>
                <w:sz w:val="18"/>
                <w:szCs w:val="18"/>
                <w:rtl w:val="0"/>
              </w:rPr>
              <w:t xml:space="preserve">OBSERVE punto de inserción</w:t>
            </w:r>
          </w:p>
        </w:tc>
      </w:tr>
      <w:tr>
        <w:trPr>
          <w:cantSplit w:val="0"/>
          <w:tblHeader w:val="0"/>
        </w:trPr>
        <w:tc>
          <w:tcPr>
            <w:shd w:fill="ffccff" w:val="clear"/>
          </w:tcPr>
          <w:p w:rsidR="00000000" w:rsidDel="00000000" w:rsidP="00000000" w:rsidRDefault="00000000" w:rsidRPr="00000000" w14:paraId="000000B0">
            <w:pPr>
              <w:rPr>
                <w:sz w:val="18"/>
                <w:szCs w:val="18"/>
              </w:rPr>
            </w:pPr>
            <w:r w:rsidDel="00000000" w:rsidR="00000000" w:rsidRPr="00000000">
              <w:rPr>
                <w:sz w:val="18"/>
                <w:szCs w:val="18"/>
                <w:rtl w:val="0"/>
              </w:rPr>
              <w:t xml:space="preserve">Dolor con eritema y/o hinchazón sin cordón palpable en la zona de punción</w:t>
            </w:r>
          </w:p>
        </w:tc>
        <w:tc>
          <w:tcPr>
            <w:shd w:fill="acb9ca" w:val="clear"/>
          </w:tcPr>
          <w:p w:rsidR="00000000" w:rsidDel="00000000" w:rsidP="00000000" w:rsidRDefault="00000000" w:rsidRPr="00000000" w14:paraId="000000B1">
            <w:pPr>
              <w:rPr>
                <w:sz w:val="18"/>
                <w:szCs w:val="18"/>
              </w:rPr>
            </w:pPr>
            <w:r w:rsidDel="00000000" w:rsidR="00000000" w:rsidRPr="00000000">
              <w:rPr>
                <w:sz w:val="18"/>
                <w:szCs w:val="18"/>
                <w:rtl w:val="0"/>
              </w:rPr>
              <w:t xml:space="preserve">2</w:t>
            </w:r>
          </w:p>
        </w:tc>
        <w:tc>
          <w:tcPr>
            <w:shd w:fill="ff5050" w:val="clear"/>
          </w:tcPr>
          <w:p w:rsidR="00000000" w:rsidDel="00000000" w:rsidP="00000000" w:rsidRDefault="00000000" w:rsidRPr="00000000" w14:paraId="000000B2">
            <w:pPr>
              <w:rPr>
                <w:sz w:val="18"/>
                <w:szCs w:val="18"/>
              </w:rPr>
            </w:pPr>
            <w:r w:rsidDel="00000000" w:rsidR="00000000" w:rsidRPr="00000000">
              <w:rPr>
                <w:sz w:val="18"/>
                <w:szCs w:val="18"/>
                <w:rtl w:val="0"/>
              </w:rPr>
              <w:t xml:space="preserve">Inicio de flebitis</w:t>
            </w:r>
          </w:p>
          <w:p w:rsidR="00000000" w:rsidDel="00000000" w:rsidP="00000000" w:rsidRDefault="00000000" w:rsidRPr="00000000" w14:paraId="000000B3">
            <w:pPr>
              <w:rPr>
                <w:sz w:val="18"/>
                <w:szCs w:val="18"/>
              </w:rPr>
            </w:pPr>
            <w:r w:rsidDel="00000000" w:rsidR="00000000" w:rsidRPr="00000000">
              <w:rPr>
                <w:sz w:val="18"/>
                <w:szCs w:val="18"/>
                <w:rtl w:val="0"/>
              </w:rPr>
              <w:t xml:space="preserve">RETIRE el catéter</w:t>
            </w:r>
          </w:p>
        </w:tc>
      </w:tr>
      <w:tr>
        <w:trPr>
          <w:cantSplit w:val="0"/>
          <w:tblHeader w:val="0"/>
        </w:trPr>
        <w:tc>
          <w:tcPr>
            <w:shd w:fill="ffccff" w:val="clear"/>
          </w:tcPr>
          <w:p w:rsidR="00000000" w:rsidDel="00000000" w:rsidP="00000000" w:rsidRDefault="00000000" w:rsidRPr="00000000" w14:paraId="000000B4">
            <w:pPr>
              <w:rPr>
                <w:sz w:val="18"/>
                <w:szCs w:val="18"/>
              </w:rPr>
            </w:pPr>
            <w:r w:rsidDel="00000000" w:rsidR="00000000" w:rsidRPr="00000000">
              <w:rPr>
                <w:sz w:val="18"/>
                <w:szCs w:val="18"/>
                <w:rtl w:val="0"/>
              </w:rPr>
              <w:t xml:space="preserve">Dolor, eritema, hinchazón, endurecimiento o cordón venoso palpable &lt; 6 cm por encima del sitio de inserción</w:t>
            </w:r>
          </w:p>
        </w:tc>
        <w:tc>
          <w:tcPr>
            <w:shd w:fill="acb9ca" w:val="clear"/>
          </w:tcPr>
          <w:p w:rsidR="00000000" w:rsidDel="00000000" w:rsidP="00000000" w:rsidRDefault="00000000" w:rsidRPr="00000000" w14:paraId="000000B5">
            <w:pPr>
              <w:rPr>
                <w:sz w:val="18"/>
                <w:szCs w:val="18"/>
              </w:rPr>
            </w:pPr>
            <w:r w:rsidDel="00000000" w:rsidR="00000000" w:rsidRPr="00000000">
              <w:rPr>
                <w:sz w:val="18"/>
                <w:szCs w:val="18"/>
                <w:rtl w:val="0"/>
              </w:rPr>
              <w:t xml:space="preserve">3</w:t>
            </w:r>
          </w:p>
        </w:tc>
        <w:tc>
          <w:tcPr>
            <w:shd w:fill="ff0000" w:val="clear"/>
          </w:tcPr>
          <w:p w:rsidR="00000000" w:rsidDel="00000000" w:rsidP="00000000" w:rsidRDefault="00000000" w:rsidRPr="00000000" w14:paraId="000000B6">
            <w:pPr>
              <w:rPr>
                <w:sz w:val="18"/>
                <w:szCs w:val="18"/>
              </w:rPr>
            </w:pPr>
            <w:r w:rsidDel="00000000" w:rsidR="00000000" w:rsidRPr="00000000">
              <w:rPr>
                <w:sz w:val="18"/>
                <w:szCs w:val="18"/>
                <w:rtl w:val="0"/>
              </w:rPr>
              <w:t xml:space="preserve">Etapa media de flebitis</w:t>
            </w:r>
          </w:p>
          <w:p w:rsidR="00000000" w:rsidDel="00000000" w:rsidP="00000000" w:rsidRDefault="00000000" w:rsidRPr="00000000" w14:paraId="000000B7">
            <w:pPr>
              <w:rPr>
                <w:sz w:val="18"/>
                <w:szCs w:val="18"/>
              </w:rPr>
            </w:pPr>
            <w:r w:rsidDel="00000000" w:rsidR="00000000" w:rsidRPr="00000000">
              <w:rPr>
                <w:sz w:val="18"/>
                <w:szCs w:val="18"/>
                <w:rtl w:val="0"/>
              </w:rPr>
              <w:t xml:space="preserve">RETIRE el catéter y valore el tratamiento</w:t>
            </w:r>
          </w:p>
        </w:tc>
      </w:tr>
      <w:tr>
        <w:trPr>
          <w:cantSplit w:val="0"/>
          <w:tblHeader w:val="0"/>
        </w:trPr>
        <w:tc>
          <w:tcPr>
            <w:shd w:fill="ffccff" w:val="clear"/>
          </w:tcPr>
          <w:p w:rsidR="00000000" w:rsidDel="00000000" w:rsidP="00000000" w:rsidRDefault="00000000" w:rsidRPr="00000000" w14:paraId="000000B8">
            <w:pPr>
              <w:rPr>
                <w:sz w:val="18"/>
                <w:szCs w:val="18"/>
              </w:rPr>
            </w:pPr>
            <w:r w:rsidDel="00000000" w:rsidR="00000000" w:rsidRPr="00000000">
              <w:rPr>
                <w:sz w:val="18"/>
                <w:szCs w:val="18"/>
                <w:rtl w:val="0"/>
              </w:rPr>
              <w:t xml:space="preserve">Dolor, eritema, hinchazón, endurecimiento o cordón venoso palpable &gt; 6 cm por encima del sitio de inserción y/o purulencia</w:t>
            </w:r>
          </w:p>
        </w:tc>
        <w:tc>
          <w:tcPr>
            <w:shd w:fill="acb9ca" w:val="clear"/>
          </w:tcPr>
          <w:p w:rsidR="00000000" w:rsidDel="00000000" w:rsidP="00000000" w:rsidRDefault="00000000" w:rsidRPr="00000000" w14:paraId="000000B9">
            <w:pPr>
              <w:rPr>
                <w:sz w:val="18"/>
                <w:szCs w:val="18"/>
              </w:rPr>
            </w:pPr>
            <w:r w:rsidDel="00000000" w:rsidR="00000000" w:rsidRPr="00000000">
              <w:rPr>
                <w:sz w:val="18"/>
                <w:szCs w:val="18"/>
                <w:rtl w:val="0"/>
              </w:rPr>
              <w:t xml:space="preserve">4</w:t>
            </w:r>
          </w:p>
        </w:tc>
        <w:tc>
          <w:tcPr>
            <w:shd w:fill="ff0000" w:val="clear"/>
          </w:tcPr>
          <w:p w:rsidR="00000000" w:rsidDel="00000000" w:rsidP="00000000" w:rsidRDefault="00000000" w:rsidRPr="00000000" w14:paraId="000000BA">
            <w:pPr>
              <w:rPr>
                <w:sz w:val="18"/>
                <w:szCs w:val="18"/>
              </w:rPr>
            </w:pPr>
            <w:r w:rsidDel="00000000" w:rsidR="00000000" w:rsidRPr="00000000">
              <w:rPr>
                <w:sz w:val="18"/>
                <w:szCs w:val="18"/>
                <w:rtl w:val="0"/>
              </w:rPr>
              <w:t xml:space="preserve">Avanzado estado de flebitis</w:t>
            </w:r>
          </w:p>
          <w:p w:rsidR="00000000" w:rsidDel="00000000" w:rsidP="00000000" w:rsidRDefault="00000000" w:rsidRPr="00000000" w14:paraId="000000BB">
            <w:pPr>
              <w:rPr>
                <w:sz w:val="18"/>
                <w:szCs w:val="18"/>
              </w:rPr>
            </w:pPr>
            <w:r w:rsidDel="00000000" w:rsidR="00000000" w:rsidRPr="00000000">
              <w:rPr>
                <w:sz w:val="18"/>
                <w:szCs w:val="18"/>
                <w:rtl w:val="0"/>
              </w:rPr>
              <w:t xml:space="preserve">RETIRE el catéter y valore el tratamiento</w:t>
            </w:r>
          </w:p>
        </w:tc>
      </w:tr>
      <w:tr>
        <w:trPr>
          <w:cantSplit w:val="0"/>
          <w:tblHeader w:val="0"/>
        </w:trPr>
        <w:tc>
          <w:tcPr>
            <w:shd w:fill="ffccff" w:val="clear"/>
          </w:tcPr>
          <w:p w:rsidR="00000000" w:rsidDel="00000000" w:rsidP="00000000" w:rsidRDefault="00000000" w:rsidRPr="00000000" w14:paraId="000000BC">
            <w:pPr>
              <w:rPr>
                <w:sz w:val="18"/>
                <w:szCs w:val="18"/>
              </w:rPr>
            </w:pPr>
            <w:r w:rsidDel="00000000" w:rsidR="00000000" w:rsidRPr="00000000">
              <w:rPr>
                <w:sz w:val="18"/>
                <w:szCs w:val="18"/>
                <w:rtl w:val="0"/>
              </w:rPr>
              <w:t xml:space="preserve">Trombosis venosa franca con todos los signos anteriores y dificultad o detención de la perfusión</w:t>
            </w:r>
          </w:p>
        </w:tc>
        <w:tc>
          <w:tcPr>
            <w:shd w:fill="acb9ca" w:val="clear"/>
          </w:tcPr>
          <w:p w:rsidR="00000000" w:rsidDel="00000000" w:rsidP="00000000" w:rsidRDefault="00000000" w:rsidRPr="00000000" w14:paraId="000000BD">
            <w:pPr>
              <w:rPr>
                <w:sz w:val="18"/>
                <w:szCs w:val="18"/>
              </w:rPr>
            </w:pPr>
            <w:r w:rsidDel="00000000" w:rsidR="00000000" w:rsidRPr="00000000">
              <w:rPr>
                <w:sz w:val="18"/>
                <w:szCs w:val="18"/>
                <w:rtl w:val="0"/>
              </w:rPr>
              <w:t xml:space="preserve">5</w:t>
            </w:r>
          </w:p>
        </w:tc>
        <w:tc>
          <w:tcPr>
            <w:shd w:fill="ff0000" w:val="clear"/>
          </w:tcPr>
          <w:p w:rsidR="00000000" w:rsidDel="00000000" w:rsidP="00000000" w:rsidRDefault="00000000" w:rsidRPr="00000000" w14:paraId="000000BE">
            <w:pPr>
              <w:rPr>
                <w:sz w:val="18"/>
                <w:szCs w:val="18"/>
              </w:rPr>
            </w:pPr>
            <w:r w:rsidDel="00000000" w:rsidR="00000000" w:rsidRPr="00000000">
              <w:rPr>
                <w:sz w:val="18"/>
                <w:szCs w:val="18"/>
                <w:rtl w:val="0"/>
              </w:rPr>
              <w:t xml:space="preserve">Tromboflebitis</w:t>
            </w:r>
          </w:p>
          <w:p w:rsidR="00000000" w:rsidDel="00000000" w:rsidP="00000000" w:rsidRDefault="00000000" w:rsidRPr="00000000" w14:paraId="000000BF">
            <w:pPr>
              <w:rPr>
                <w:sz w:val="18"/>
                <w:szCs w:val="18"/>
              </w:rPr>
            </w:pPr>
            <w:r w:rsidDel="00000000" w:rsidR="00000000" w:rsidRPr="00000000">
              <w:rPr>
                <w:sz w:val="18"/>
                <w:szCs w:val="18"/>
                <w:rtl w:val="0"/>
              </w:rPr>
              <w:t xml:space="preserve">RETIRE el catéter e inicie el tratamiento</w:t>
            </w:r>
          </w:p>
        </w:tc>
      </w:tr>
    </w:tbl>
    <w:bookmarkStart w:colFirst="0" w:colLast="0" w:name="bookmark=id.gjdgxs" w:id="1"/>
    <w:bookmarkEnd w:id="1"/>
    <w:p w:rsidR="00000000" w:rsidDel="00000000" w:rsidP="00000000" w:rsidRDefault="00000000" w:rsidRPr="00000000" w14:paraId="000000C0">
      <w:pPr>
        <w:rPr>
          <w:b w:val="1"/>
          <w:sz w:val="22"/>
          <w:szCs w:val="22"/>
        </w:rPr>
      </w:pPr>
      <w:r w:rsidDel="00000000" w:rsidR="00000000" w:rsidRPr="00000000">
        <w:rPr>
          <w:rtl w:val="0"/>
        </w:rPr>
      </w:r>
    </w:p>
    <w:p w:rsidR="00000000" w:rsidDel="00000000" w:rsidP="00000000" w:rsidRDefault="00000000" w:rsidRPr="00000000" w14:paraId="000000C1">
      <w:pPr>
        <w:rPr>
          <w:b w:val="1"/>
          <w:sz w:val="4"/>
          <w:szCs w:val="4"/>
        </w:rPr>
      </w:pPr>
      <w:r w:rsidDel="00000000" w:rsidR="00000000" w:rsidRPr="00000000">
        <w:rPr>
          <w:rtl w:val="0"/>
        </w:rPr>
      </w:r>
    </w:p>
    <w:p w:rsidR="00000000" w:rsidDel="00000000" w:rsidP="00000000" w:rsidRDefault="00000000" w:rsidRPr="00000000" w14:paraId="000000C2">
      <w:pPr>
        <w:rPr>
          <w:b w:val="1"/>
          <w:sz w:val="22"/>
          <w:szCs w:val="22"/>
        </w:rPr>
      </w:pPr>
      <w:r w:rsidDel="00000000" w:rsidR="00000000" w:rsidRPr="00000000">
        <w:rPr>
          <w:rtl w:val="0"/>
        </w:rPr>
      </w:r>
    </w:p>
    <w:p w:rsidR="00000000" w:rsidDel="00000000" w:rsidP="00000000" w:rsidRDefault="00000000" w:rsidRPr="00000000" w14:paraId="000000C3">
      <w:pPr>
        <w:rPr>
          <w:b w:val="1"/>
          <w:sz w:val="22"/>
          <w:szCs w:val="22"/>
        </w:rPr>
      </w:pPr>
      <w:r w:rsidDel="00000000" w:rsidR="00000000" w:rsidRPr="00000000">
        <w:rPr>
          <w:rtl w:val="0"/>
        </w:rPr>
      </w:r>
    </w:p>
    <w:p w:rsidR="00000000" w:rsidDel="00000000" w:rsidP="00000000" w:rsidRDefault="00000000" w:rsidRPr="00000000" w14:paraId="000000C4">
      <w:pPr>
        <w:rPr>
          <w:b w:val="1"/>
          <w:sz w:val="22"/>
          <w:szCs w:val="22"/>
        </w:rPr>
      </w:pPr>
      <w:r w:rsidDel="00000000" w:rsidR="00000000" w:rsidRPr="00000000">
        <w:rPr>
          <w:rtl w:val="0"/>
        </w:rPr>
      </w:r>
    </w:p>
    <w:p w:rsidR="00000000" w:rsidDel="00000000" w:rsidP="00000000" w:rsidRDefault="00000000" w:rsidRPr="00000000" w14:paraId="000000C5">
      <w:pPr>
        <w:rPr>
          <w:b w:val="1"/>
          <w:sz w:val="22"/>
          <w:szCs w:val="22"/>
        </w:rPr>
      </w:pPr>
      <w:r w:rsidDel="00000000" w:rsidR="00000000" w:rsidRPr="00000000">
        <w:rPr>
          <w:rtl w:val="0"/>
        </w:rPr>
      </w:r>
    </w:p>
    <w:p w:rsidR="00000000" w:rsidDel="00000000" w:rsidP="00000000" w:rsidRDefault="00000000" w:rsidRPr="00000000" w14:paraId="000000C6">
      <w:pPr>
        <w:rPr>
          <w:b w:val="1"/>
          <w:sz w:val="22"/>
          <w:szCs w:val="22"/>
        </w:rPr>
      </w:pPr>
      <w:r w:rsidDel="00000000" w:rsidR="00000000" w:rsidRPr="00000000">
        <w:rPr>
          <w:rtl w:val="0"/>
        </w:rPr>
      </w:r>
    </w:p>
    <w:p w:rsidR="00000000" w:rsidDel="00000000" w:rsidP="00000000" w:rsidRDefault="00000000" w:rsidRPr="00000000" w14:paraId="000000C7">
      <w:pPr>
        <w:rPr>
          <w:b w:val="1"/>
          <w:sz w:val="22"/>
          <w:szCs w:val="22"/>
        </w:rPr>
      </w:pPr>
      <w:r w:rsidDel="00000000" w:rsidR="00000000" w:rsidRPr="00000000">
        <w:rPr>
          <w:rtl w:val="0"/>
        </w:rPr>
      </w:r>
    </w:p>
    <w:p w:rsidR="00000000" w:rsidDel="00000000" w:rsidP="00000000" w:rsidRDefault="00000000" w:rsidRPr="00000000" w14:paraId="000000C8">
      <w:pPr>
        <w:rPr>
          <w:b w:val="1"/>
          <w:sz w:val="22"/>
          <w:szCs w:val="22"/>
        </w:rPr>
      </w:pPr>
      <w:r w:rsidDel="00000000" w:rsidR="00000000" w:rsidRPr="00000000">
        <w:rPr>
          <w:rtl w:val="0"/>
        </w:rPr>
      </w:r>
    </w:p>
    <w:p w:rsidR="00000000" w:rsidDel="00000000" w:rsidP="00000000" w:rsidRDefault="00000000" w:rsidRPr="00000000" w14:paraId="000000C9">
      <w:pPr>
        <w:rPr>
          <w:b w:val="1"/>
          <w:sz w:val="22"/>
          <w:szCs w:val="22"/>
        </w:rPr>
      </w:pPr>
      <w:r w:rsidDel="00000000" w:rsidR="00000000" w:rsidRPr="00000000">
        <w:rPr>
          <w:rtl w:val="0"/>
        </w:rPr>
      </w:r>
    </w:p>
    <w:p w:rsidR="00000000" w:rsidDel="00000000" w:rsidP="00000000" w:rsidRDefault="00000000" w:rsidRPr="00000000" w14:paraId="000000CA">
      <w:pPr>
        <w:rPr>
          <w:b w:val="1"/>
          <w:sz w:val="22"/>
          <w:szCs w:val="22"/>
        </w:rPr>
      </w:pPr>
      <w:r w:rsidDel="00000000" w:rsidR="00000000" w:rsidRPr="00000000">
        <w:rPr>
          <w:rtl w:val="0"/>
        </w:rPr>
      </w:r>
    </w:p>
    <w:p w:rsidR="00000000" w:rsidDel="00000000" w:rsidP="00000000" w:rsidRDefault="00000000" w:rsidRPr="00000000" w14:paraId="000000CB">
      <w:pPr>
        <w:rPr>
          <w:b w:val="1"/>
          <w:sz w:val="22"/>
          <w:szCs w:val="22"/>
        </w:rPr>
      </w:pPr>
      <w:r w:rsidDel="00000000" w:rsidR="00000000" w:rsidRPr="00000000">
        <w:rPr>
          <w:rtl w:val="0"/>
        </w:rPr>
      </w:r>
    </w:p>
    <w:p w:rsidR="00000000" w:rsidDel="00000000" w:rsidP="00000000" w:rsidRDefault="00000000" w:rsidRPr="00000000" w14:paraId="000000CC">
      <w:pPr>
        <w:rPr>
          <w:b w:val="1"/>
          <w:sz w:val="22"/>
          <w:szCs w:val="22"/>
        </w:rPr>
      </w:pPr>
      <w:r w:rsidDel="00000000" w:rsidR="00000000" w:rsidRPr="00000000">
        <w:rPr>
          <w:rtl w:val="0"/>
        </w:rPr>
      </w:r>
    </w:p>
    <w:p w:rsidR="00000000" w:rsidDel="00000000" w:rsidP="00000000" w:rsidRDefault="00000000" w:rsidRPr="00000000" w14:paraId="000000CD">
      <w:pPr>
        <w:rPr>
          <w:b w:val="1"/>
          <w:sz w:val="22"/>
          <w:szCs w:val="22"/>
        </w:rPr>
      </w:pPr>
      <w:r w:rsidDel="00000000" w:rsidR="00000000" w:rsidRPr="00000000">
        <w:rPr>
          <w:rtl w:val="0"/>
        </w:rPr>
      </w:r>
    </w:p>
    <w:p w:rsidR="00000000" w:rsidDel="00000000" w:rsidP="00000000" w:rsidRDefault="00000000" w:rsidRPr="00000000" w14:paraId="000000CE">
      <w:pPr>
        <w:rPr>
          <w:b w:val="1"/>
          <w:sz w:val="22"/>
          <w:szCs w:val="22"/>
        </w:rPr>
      </w:pPr>
      <w:r w:rsidDel="00000000" w:rsidR="00000000" w:rsidRPr="00000000">
        <w:rPr>
          <w:rtl w:val="0"/>
        </w:rPr>
      </w:r>
    </w:p>
    <w:p w:rsidR="00000000" w:rsidDel="00000000" w:rsidP="00000000" w:rsidRDefault="00000000" w:rsidRPr="00000000" w14:paraId="000000CF">
      <w:pPr>
        <w:rPr>
          <w:b w:val="1"/>
          <w:sz w:val="22"/>
          <w:szCs w:val="22"/>
        </w:rPr>
      </w:pPr>
      <w:r w:rsidDel="00000000" w:rsidR="00000000" w:rsidRPr="00000000">
        <w:rPr>
          <w:rtl w:val="0"/>
        </w:rPr>
      </w:r>
    </w:p>
    <w:p w:rsidR="00000000" w:rsidDel="00000000" w:rsidP="00000000" w:rsidRDefault="00000000" w:rsidRPr="00000000" w14:paraId="000000D0">
      <w:pPr>
        <w:rPr>
          <w:b w:val="1"/>
          <w:sz w:val="22"/>
          <w:szCs w:val="22"/>
        </w:rPr>
      </w:pPr>
      <w:r w:rsidDel="00000000" w:rsidR="00000000" w:rsidRPr="00000000">
        <w:rPr>
          <w:rtl w:val="0"/>
        </w:rPr>
      </w:r>
    </w:p>
    <w:p w:rsidR="00000000" w:rsidDel="00000000" w:rsidP="00000000" w:rsidRDefault="00000000" w:rsidRPr="00000000" w14:paraId="000000D1">
      <w:pPr>
        <w:rPr>
          <w:b w:val="1"/>
          <w:sz w:val="22"/>
          <w:szCs w:val="22"/>
        </w:rPr>
      </w:pPr>
      <w:r w:rsidDel="00000000" w:rsidR="00000000" w:rsidRPr="00000000">
        <w:rPr>
          <w:rtl w:val="0"/>
        </w:rPr>
      </w:r>
    </w:p>
    <w:p w:rsidR="00000000" w:rsidDel="00000000" w:rsidP="00000000" w:rsidRDefault="00000000" w:rsidRPr="00000000" w14:paraId="000000D2">
      <w:pPr>
        <w:rPr>
          <w:b w:val="1"/>
          <w:sz w:val="22"/>
          <w:szCs w:val="22"/>
        </w:rPr>
      </w:pPr>
      <w:r w:rsidDel="00000000" w:rsidR="00000000" w:rsidRPr="00000000">
        <w:rPr>
          <w:rtl w:val="0"/>
        </w:rPr>
      </w:r>
    </w:p>
    <w:p w:rsidR="00000000" w:rsidDel="00000000" w:rsidP="00000000" w:rsidRDefault="00000000" w:rsidRPr="00000000" w14:paraId="000000D3">
      <w:pPr>
        <w:rPr>
          <w:b w:val="1"/>
          <w:sz w:val="22"/>
          <w:szCs w:val="22"/>
        </w:rPr>
      </w:pPr>
      <w:r w:rsidDel="00000000" w:rsidR="00000000" w:rsidRPr="00000000">
        <w:rPr>
          <w:rtl w:val="0"/>
        </w:rPr>
      </w:r>
    </w:p>
    <w:p w:rsidR="00000000" w:rsidDel="00000000" w:rsidP="00000000" w:rsidRDefault="00000000" w:rsidRPr="00000000" w14:paraId="000000D4">
      <w:pPr>
        <w:rPr>
          <w:b w:val="1"/>
          <w:sz w:val="22"/>
          <w:szCs w:val="22"/>
        </w:rPr>
      </w:pPr>
      <w:r w:rsidDel="00000000" w:rsidR="00000000" w:rsidRPr="00000000">
        <w:rPr>
          <w:rtl w:val="0"/>
        </w:rPr>
      </w:r>
    </w:p>
    <w:p w:rsidR="00000000" w:rsidDel="00000000" w:rsidP="00000000" w:rsidRDefault="00000000" w:rsidRPr="00000000" w14:paraId="000000D5">
      <w:pPr>
        <w:rPr>
          <w:b w:val="1"/>
          <w:sz w:val="22"/>
          <w:szCs w:val="22"/>
        </w:rPr>
      </w:pPr>
      <w:r w:rsidDel="00000000" w:rsidR="00000000" w:rsidRPr="00000000">
        <w:rPr>
          <w:rtl w:val="0"/>
        </w:rPr>
      </w:r>
    </w:p>
    <w:p w:rsidR="00000000" w:rsidDel="00000000" w:rsidP="00000000" w:rsidRDefault="00000000" w:rsidRPr="00000000" w14:paraId="000000D6">
      <w:pPr>
        <w:rPr>
          <w:b w:val="1"/>
          <w:sz w:val="22"/>
          <w:szCs w:val="22"/>
        </w:rPr>
      </w:pPr>
      <w:r w:rsidDel="00000000" w:rsidR="00000000" w:rsidRPr="00000000">
        <w:rPr>
          <w:rtl w:val="0"/>
        </w:rPr>
      </w:r>
    </w:p>
    <w:p w:rsidR="00000000" w:rsidDel="00000000" w:rsidP="00000000" w:rsidRDefault="00000000" w:rsidRPr="00000000" w14:paraId="000000D7">
      <w:pPr>
        <w:rPr>
          <w:b w:val="1"/>
          <w:sz w:val="22"/>
          <w:szCs w:val="22"/>
        </w:rPr>
      </w:pPr>
      <w:r w:rsidDel="00000000" w:rsidR="00000000" w:rsidRPr="00000000">
        <w:rPr>
          <w:rtl w:val="0"/>
        </w:rPr>
      </w:r>
    </w:p>
    <w:p w:rsidR="00000000" w:rsidDel="00000000" w:rsidP="00000000" w:rsidRDefault="00000000" w:rsidRPr="00000000" w14:paraId="000000D8">
      <w:pPr>
        <w:rPr>
          <w:b w:val="1"/>
          <w:sz w:val="22"/>
          <w:szCs w:val="22"/>
        </w:rPr>
      </w:pPr>
      <w:r w:rsidDel="00000000" w:rsidR="00000000" w:rsidRPr="00000000">
        <w:rPr>
          <w:rtl w:val="0"/>
        </w:rPr>
      </w:r>
    </w:p>
    <w:p w:rsidR="00000000" w:rsidDel="00000000" w:rsidP="00000000" w:rsidRDefault="00000000" w:rsidRPr="00000000" w14:paraId="000000D9">
      <w:pPr>
        <w:rPr>
          <w:b w:val="1"/>
          <w:sz w:val="22"/>
          <w:szCs w:val="22"/>
        </w:rPr>
      </w:pPr>
      <w:r w:rsidDel="00000000" w:rsidR="00000000" w:rsidRPr="00000000">
        <w:rPr>
          <w:rtl w:val="0"/>
        </w:rPr>
      </w:r>
    </w:p>
    <w:p w:rsidR="00000000" w:rsidDel="00000000" w:rsidP="00000000" w:rsidRDefault="00000000" w:rsidRPr="00000000" w14:paraId="000000DA">
      <w:pPr>
        <w:rPr>
          <w:b w:val="1"/>
          <w:sz w:val="22"/>
          <w:szCs w:val="22"/>
        </w:rPr>
      </w:pPr>
      <w:r w:rsidDel="00000000" w:rsidR="00000000" w:rsidRPr="00000000">
        <w:rPr>
          <w:rtl w:val="0"/>
        </w:rPr>
      </w:r>
    </w:p>
    <w:p w:rsidR="00000000" w:rsidDel="00000000" w:rsidP="00000000" w:rsidRDefault="00000000" w:rsidRPr="00000000" w14:paraId="000000DB">
      <w:pPr>
        <w:rPr>
          <w:b w:val="1"/>
          <w:sz w:val="22"/>
          <w:szCs w:val="22"/>
        </w:rPr>
      </w:pPr>
      <w:r w:rsidDel="00000000" w:rsidR="00000000" w:rsidRPr="00000000">
        <w:rPr>
          <w:rtl w:val="0"/>
        </w:rPr>
      </w:r>
    </w:p>
    <w:p w:rsidR="00000000" w:rsidDel="00000000" w:rsidP="00000000" w:rsidRDefault="00000000" w:rsidRPr="00000000" w14:paraId="000000DC">
      <w:pPr>
        <w:rPr>
          <w:b w:val="1"/>
          <w:sz w:val="22"/>
          <w:szCs w:val="22"/>
        </w:rPr>
      </w:pPr>
      <w:r w:rsidDel="00000000" w:rsidR="00000000" w:rsidRPr="00000000">
        <w:rPr>
          <w:rtl w:val="0"/>
        </w:rPr>
      </w:r>
    </w:p>
    <w:p w:rsidR="00000000" w:rsidDel="00000000" w:rsidP="00000000" w:rsidRDefault="00000000" w:rsidRPr="00000000" w14:paraId="000000DD">
      <w:pPr>
        <w:rPr>
          <w:b w:val="1"/>
          <w:sz w:val="22"/>
          <w:szCs w:val="22"/>
        </w:rPr>
      </w:pPr>
      <w:r w:rsidDel="00000000" w:rsidR="00000000" w:rsidRPr="00000000">
        <w:rPr>
          <w:rtl w:val="0"/>
        </w:rPr>
      </w:r>
    </w:p>
    <w:p w:rsidR="00000000" w:rsidDel="00000000" w:rsidP="00000000" w:rsidRDefault="00000000" w:rsidRPr="00000000" w14:paraId="000000DE">
      <w:pPr>
        <w:rPr>
          <w:b w:val="1"/>
          <w:sz w:val="22"/>
          <w:szCs w:val="22"/>
        </w:rPr>
      </w:pPr>
      <w:r w:rsidDel="00000000" w:rsidR="00000000" w:rsidRPr="00000000">
        <w:rPr>
          <w:rtl w:val="0"/>
        </w:rPr>
      </w:r>
    </w:p>
    <w:p w:rsidR="00000000" w:rsidDel="00000000" w:rsidP="00000000" w:rsidRDefault="00000000" w:rsidRPr="00000000" w14:paraId="000000DF">
      <w:pPr>
        <w:rPr>
          <w:b w:val="1"/>
          <w:sz w:val="22"/>
          <w:szCs w:val="22"/>
        </w:rPr>
      </w:pPr>
      <w:r w:rsidDel="00000000" w:rsidR="00000000" w:rsidRPr="00000000">
        <w:rPr>
          <w:rtl w:val="0"/>
        </w:rPr>
      </w:r>
    </w:p>
    <w:p w:rsidR="00000000" w:rsidDel="00000000" w:rsidP="00000000" w:rsidRDefault="00000000" w:rsidRPr="00000000" w14:paraId="000000E0">
      <w:pPr>
        <w:rPr>
          <w:b w:val="1"/>
          <w:sz w:val="22"/>
          <w:szCs w:val="22"/>
        </w:rPr>
      </w:pPr>
      <w:r w:rsidDel="00000000" w:rsidR="00000000" w:rsidRPr="00000000">
        <w:rPr>
          <w:rtl w:val="0"/>
        </w:rPr>
      </w:r>
    </w:p>
    <w:p w:rsidR="00000000" w:rsidDel="00000000" w:rsidP="00000000" w:rsidRDefault="00000000" w:rsidRPr="00000000" w14:paraId="000000E1">
      <w:pPr>
        <w:rPr>
          <w:b w:val="1"/>
          <w:sz w:val="22"/>
          <w:szCs w:val="22"/>
        </w:rPr>
      </w:pPr>
      <w:r w:rsidDel="00000000" w:rsidR="00000000" w:rsidRPr="00000000">
        <w:rPr>
          <w:rtl w:val="0"/>
        </w:rPr>
      </w:r>
    </w:p>
    <w:p w:rsidR="00000000" w:rsidDel="00000000" w:rsidP="00000000" w:rsidRDefault="00000000" w:rsidRPr="00000000" w14:paraId="000000E2">
      <w:pPr>
        <w:rPr>
          <w:b w:val="1"/>
          <w:sz w:val="22"/>
          <w:szCs w:val="22"/>
        </w:rPr>
      </w:pPr>
      <w:r w:rsidDel="00000000" w:rsidR="00000000" w:rsidRPr="00000000">
        <w:rPr>
          <w:rtl w:val="0"/>
        </w:rPr>
      </w:r>
    </w:p>
    <w:p w:rsidR="00000000" w:rsidDel="00000000" w:rsidP="00000000" w:rsidRDefault="00000000" w:rsidRPr="00000000" w14:paraId="000000E3">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E4">
      <w:pPr>
        <w:rPr>
          <w:b w:val="1"/>
          <w:sz w:val="22"/>
          <w:szCs w:val="22"/>
        </w:rPr>
      </w:pPr>
      <w:r w:rsidDel="00000000" w:rsidR="00000000" w:rsidRPr="00000000">
        <w:rPr>
          <w:rtl w:val="0"/>
        </w:rPr>
      </w:r>
    </w:p>
    <w:p w:rsidR="00000000" w:rsidDel="00000000" w:rsidP="00000000" w:rsidRDefault="00000000" w:rsidRPr="00000000" w14:paraId="000000E5">
      <w:pPr>
        <w:rPr>
          <w:sz w:val="22"/>
          <w:szCs w:val="22"/>
        </w:rPr>
      </w:pPr>
      <w:r w:rsidDel="00000000" w:rsidR="00000000" w:rsidRPr="00000000">
        <w:rPr>
          <w:b w:val="1"/>
          <w:sz w:val="22"/>
          <w:szCs w:val="22"/>
          <w:rtl w:val="0"/>
        </w:rPr>
        <w:t xml:space="preserve">Tabla 1</w:t>
      </w:r>
      <w:r w:rsidDel="00000000" w:rsidR="00000000" w:rsidRPr="00000000">
        <w:rPr>
          <w:sz w:val="22"/>
          <w:szCs w:val="22"/>
          <w:rtl w:val="0"/>
        </w:rPr>
        <w:t xml:space="preserve">. Análisis descriptivo de la población de estudio. </w:t>
      </w:r>
    </w:p>
    <w:p w:rsidR="00000000" w:rsidDel="00000000" w:rsidP="00000000" w:rsidRDefault="00000000" w:rsidRPr="00000000" w14:paraId="000000E6">
      <w:pPr>
        <w:rPr/>
      </w:pPr>
      <w:r w:rsidDel="00000000" w:rsidR="00000000" w:rsidRPr="00000000">
        <w:rPr>
          <w:rtl w:val="0"/>
        </w:rPr>
      </w:r>
    </w:p>
    <w:tbl>
      <w:tblPr>
        <w:tblStyle w:val="Table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E7">
            <w:pPr>
              <w:rPr>
                <w:sz w:val="18"/>
                <w:szCs w:val="18"/>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E8">
            <w:pPr>
              <w:jc w:val="right"/>
              <w:rPr>
                <w:sz w:val="18"/>
                <w:szCs w:val="18"/>
              </w:rPr>
            </w:pPr>
            <w:r w:rsidDel="00000000" w:rsidR="00000000" w:rsidRPr="00000000">
              <w:rPr>
                <w:sz w:val="18"/>
                <w:szCs w:val="18"/>
                <w:rtl w:val="0"/>
              </w:rPr>
              <w:t xml:space="preserve">N=171</w:t>
            </w:r>
          </w:p>
        </w:tc>
        <w:tc>
          <w:tcPr>
            <w:tcBorders>
              <w:top w:color="000000" w:space="0" w:sz="0" w:val="nil"/>
              <w:left w:color="000000" w:space="0" w:sz="0" w:val="nil"/>
              <w:right w:color="000000" w:space="0" w:sz="0" w:val="nil"/>
            </w:tcBorders>
          </w:tcPr>
          <w:p w:rsidR="00000000" w:rsidDel="00000000" w:rsidP="00000000" w:rsidRDefault="00000000" w:rsidRPr="00000000" w14:paraId="000000E9">
            <w:pPr>
              <w:jc w:val="right"/>
              <w:rPr>
                <w:sz w:val="18"/>
                <w:szCs w:val="18"/>
              </w:rPr>
            </w:pPr>
            <w:r w:rsidDel="00000000" w:rsidR="00000000" w:rsidRPr="00000000">
              <w:rPr>
                <w:sz w:val="18"/>
                <w:szCs w:val="18"/>
                <w:rtl w:val="0"/>
              </w:rPr>
              <w:t xml:space="preserve">N/ (%)</w:t>
            </w:r>
          </w:p>
        </w:tc>
      </w:tr>
      <w:tr>
        <w:trPr>
          <w:cantSplit w:val="0"/>
          <w:tblHeader w:val="0"/>
        </w:trPr>
        <w:tc>
          <w:tcPr>
            <w:gridSpan w:val="3"/>
            <w:tcBorders>
              <w:bottom w:color="000000" w:space="0" w:sz="4" w:val="single"/>
            </w:tcBorders>
            <w:shd w:fill="a6a6a6" w:val="clear"/>
          </w:tcPr>
          <w:p w:rsidR="00000000" w:rsidDel="00000000" w:rsidP="00000000" w:rsidRDefault="00000000" w:rsidRPr="00000000" w14:paraId="000000EA">
            <w:pPr>
              <w:jc w:val="center"/>
              <w:rPr>
                <w:b w:val="1"/>
                <w:sz w:val="18"/>
                <w:szCs w:val="18"/>
              </w:rPr>
            </w:pPr>
            <w:r w:rsidDel="00000000" w:rsidR="00000000" w:rsidRPr="00000000">
              <w:rPr>
                <w:b w:val="1"/>
                <w:sz w:val="18"/>
                <w:szCs w:val="18"/>
                <w:rtl w:val="0"/>
              </w:rPr>
              <w:t xml:space="preserve">Datos generales</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0ED">
            <w:pPr>
              <w:rPr>
                <w:sz w:val="18"/>
                <w:szCs w:val="18"/>
              </w:rPr>
            </w:pPr>
            <w:r w:rsidDel="00000000" w:rsidR="00000000" w:rsidRPr="00000000">
              <w:rPr>
                <w:sz w:val="18"/>
                <w:szCs w:val="18"/>
                <w:rtl w:val="0"/>
              </w:rPr>
              <w:t xml:space="preserve">Edad</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0EE">
            <w:pPr>
              <w:rPr>
                <w:sz w:val="18"/>
                <w:szCs w:val="18"/>
              </w:rPr>
            </w:pPr>
            <w:r w:rsidDel="00000000" w:rsidR="00000000" w:rsidRPr="00000000">
              <w:rPr>
                <w:rtl w:val="0"/>
              </w:rPr>
            </w:r>
          </w:p>
        </w:tc>
        <w:tc>
          <w:tcPr>
            <w:tcBorders>
              <w:left w:color="000000" w:space="0" w:sz="0" w:val="nil"/>
              <w:bottom w:color="000000" w:space="0" w:sz="4" w:val="single"/>
            </w:tcBorders>
            <w:shd w:fill="d9d9d9" w:val="clear"/>
          </w:tcPr>
          <w:p w:rsidR="00000000" w:rsidDel="00000000" w:rsidP="00000000" w:rsidRDefault="00000000" w:rsidRPr="00000000" w14:paraId="000000EF">
            <w:pPr>
              <w:jc w:val="right"/>
              <w:rPr>
                <w:sz w:val="18"/>
                <w:szCs w:val="18"/>
              </w:rPr>
            </w:pPr>
            <w:r w:rsidDel="00000000" w:rsidR="00000000" w:rsidRPr="00000000">
              <w:rPr>
                <w:sz w:val="18"/>
                <w:szCs w:val="18"/>
                <w:rtl w:val="0"/>
              </w:rPr>
              <w:t xml:space="preserve">46.9 (11.4) *</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0F0">
            <w:pPr>
              <w:rPr>
                <w:sz w:val="18"/>
                <w:szCs w:val="18"/>
              </w:rPr>
            </w:pPr>
            <w:r w:rsidDel="00000000" w:rsidR="00000000" w:rsidRPr="00000000">
              <w:rPr>
                <w:sz w:val="18"/>
                <w:szCs w:val="18"/>
                <w:rtl w:val="0"/>
              </w:rPr>
              <w:t xml:space="preserve">Sexo</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0F1">
            <w:pPr>
              <w:rPr>
                <w:sz w:val="18"/>
                <w:szCs w:val="18"/>
              </w:rPr>
            </w:pPr>
            <w:r w:rsidDel="00000000" w:rsidR="00000000" w:rsidRPr="00000000">
              <w:rPr>
                <w:rtl w:val="0"/>
              </w:rPr>
            </w:r>
          </w:p>
        </w:tc>
        <w:tc>
          <w:tcPr>
            <w:tcBorders>
              <w:left w:color="000000" w:space="0" w:sz="0" w:val="nil"/>
              <w:bottom w:color="000000" w:space="0" w:sz="4" w:val="single"/>
            </w:tcBorders>
            <w:shd w:fill="d9d9d9" w:val="clear"/>
          </w:tcPr>
          <w:p w:rsidR="00000000" w:rsidDel="00000000" w:rsidP="00000000" w:rsidRDefault="00000000" w:rsidRPr="00000000" w14:paraId="000000F2">
            <w:pPr>
              <w:jc w:val="right"/>
              <w:rPr>
                <w:sz w:val="18"/>
                <w:szCs w:val="18"/>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3">
            <w:pPr>
              <w:rPr>
                <w:sz w:val="18"/>
                <w:szCs w:val="18"/>
              </w:rPr>
            </w:pPr>
            <w:r w:rsidDel="00000000" w:rsidR="00000000" w:rsidRPr="00000000">
              <w:rPr>
                <w:sz w:val="18"/>
                <w:szCs w:val="18"/>
                <w:rtl w:val="0"/>
              </w:rPr>
              <w:t xml:space="preserve">Hombre</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4">
            <w:pPr>
              <w:rPr>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5">
            <w:pPr>
              <w:jc w:val="right"/>
              <w:rPr>
                <w:b w:val="1"/>
                <w:sz w:val="18"/>
                <w:szCs w:val="18"/>
              </w:rPr>
            </w:pPr>
            <w:r w:rsidDel="00000000" w:rsidR="00000000" w:rsidRPr="00000000">
              <w:rPr>
                <w:b w:val="1"/>
                <w:sz w:val="18"/>
                <w:szCs w:val="18"/>
                <w:rtl w:val="0"/>
              </w:rPr>
              <w:t xml:space="preserve">129 (75%) </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6">
            <w:pPr>
              <w:rPr>
                <w:sz w:val="18"/>
                <w:szCs w:val="18"/>
              </w:rPr>
            </w:pPr>
            <w:r w:rsidDel="00000000" w:rsidR="00000000" w:rsidRPr="00000000">
              <w:rPr>
                <w:sz w:val="18"/>
                <w:szCs w:val="18"/>
                <w:rtl w:val="0"/>
              </w:rPr>
              <w:t xml:space="preserve">Mujer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7">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8">
            <w:pPr>
              <w:jc w:val="right"/>
              <w:rPr>
                <w:sz w:val="18"/>
                <w:szCs w:val="18"/>
              </w:rPr>
            </w:pPr>
            <w:r w:rsidDel="00000000" w:rsidR="00000000" w:rsidRPr="00000000">
              <w:rPr>
                <w:sz w:val="18"/>
                <w:szCs w:val="18"/>
                <w:rtl w:val="0"/>
              </w:rPr>
              <w:t xml:space="preserve">62 (25%)</w:t>
            </w:r>
          </w:p>
        </w:tc>
      </w:tr>
      <w:tr>
        <w:trPr>
          <w:cantSplit w:val="0"/>
          <w:tblHeader w:val="0"/>
        </w:trPr>
        <w:tc>
          <w:tcPr>
            <w:gridSpan w:val="3"/>
            <w:tcBorders>
              <w:top w:color="000000" w:space="0" w:sz="4" w:val="single"/>
              <w:bottom w:color="000000" w:space="0" w:sz="4" w:val="single"/>
            </w:tcBorders>
            <w:shd w:fill="a6a6a6" w:val="clear"/>
          </w:tcPr>
          <w:p w:rsidR="00000000" w:rsidDel="00000000" w:rsidP="00000000" w:rsidRDefault="00000000" w:rsidRPr="00000000" w14:paraId="000000F9">
            <w:pPr>
              <w:jc w:val="center"/>
              <w:rPr>
                <w:sz w:val="18"/>
                <w:szCs w:val="18"/>
              </w:rPr>
            </w:pPr>
            <w:r w:rsidDel="00000000" w:rsidR="00000000" w:rsidRPr="00000000">
              <w:rPr>
                <w:b w:val="1"/>
                <w:sz w:val="18"/>
                <w:szCs w:val="18"/>
                <w:rtl w:val="0"/>
              </w:rPr>
              <w:t xml:space="preserve">Comorbilidades</w:t>
            </w:r>
            <w:r w:rsidDel="00000000" w:rsidR="00000000" w:rsidRPr="00000000">
              <w:rPr>
                <w:rtl w:val="0"/>
              </w:rPr>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0FC">
            <w:pPr>
              <w:rPr>
                <w:sz w:val="18"/>
                <w:szCs w:val="18"/>
              </w:rPr>
            </w:pPr>
            <w:r w:rsidDel="00000000" w:rsidR="00000000" w:rsidRPr="00000000">
              <w:rPr>
                <w:sz w:val="18"/>
                <w:szCs w:val="18"/>
                <w:rtl w:val="0"/>
              </w:rPr>
              <w:t xml:space="preserve">Diabetes</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0FD">
            <w:pPr>
              <w:jc w:val="right"/>
              <w:rPr>
                <w:sz w:val="18"/>
                <w:szCs w:val="18"/>
              </w:rPr>
            </w:pPr>
            <w:r w:rsidDel="00000000" w:rsidR="00000000" w:rsidRPr="00000000">
              <w:rPr>
                <w:sz w:val="18"/>
                <w:szCs w:val="18"/>
                <w:rtl w:val="0"/>
              </w:rPr>
              <w:t xml:space="preserve">N=170</w:t>
            </w:r>
          </w:p>
        </w:tc>
        <w:tc>
          <w:tcPr>
            <w:tcBorders>
              <w:left w:color="000000" w:space="0" w:sz="0" w:val="nil"/>
              <w:bottom w:color="000000" w:space="0" w:sz="4" w:val="single"/>
            </w:tcBorders>
            <w:shd w:fill="d9d9d9" w:val="clear"/>
          </w:tcPr>
          <w:p w:rsidR="00000000" w:rsidDel="00000000" w:rsidP="00000000" w:rsidRDefault="00000000" w:rsidRPr="00000000" w14:paraId="000000FE">
            <w:pPr>
              <w:jc w:val="right"/>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FF">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00">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01">
            <w:pPr>
              <w:jc w:val="right"/>
              <w:rPr>
                <w:sz w:val="18"/>
                <w:szCs w:val="18"/>
              </w:rPr>
            </w:pPr>
            <w:r w:rsidDel="00000000" w:rsidR="00000000" w:rsidRPr="00000000">
              <w:rPr>
                <w:sz w:val="18"/>
                <w:szCs w:val="18"/>
                <w:rtl w:val="0"/>
              </w:rPr>
              <w:t xml:space="preserve">157 (92%)</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2">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3">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4">
            <w:pPr>
              <w:jc w:val="right"/>
              <w:rPr>
                <w:sz w:val="18"/>
                <w:szCs w:val="18"/>
              </w:rPr>
            </w:pPr>
            <w:r w:rsidDel="00000000" w:rsidR="00000000" w:rsidRPr="00000000">
              <w:rPr>
                <w:sz w:val="18"/>
                <w:szCs w:val="18"/>
                <w:rtl w:val="0"/>
              </w:rPr>
              <w:t xml:space="preserve">13 (8%)</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05">
            <w:pPr>
              <w:rPr>
                <w:sz w:val="18"/>
                <w:szCs w:val="18"/>
              </w:rPr>
            </w:pPr>
            <w:r w:rsidDel="00000000" w:rsidR="00000000" w:rsidRPr="00000000">
              <w:rPr>
                <w:sz w:val="18"/>
                <w:szCs w:val="18"/>
                <w:rtl w:val="0"/>
              </w:rPr>
              <w:t xml:space="preserve">Hiperglucemia</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06">
            <w:pPr>
              <w:jc w:val="right"/>
              <w:rPr>
                <w:sz w:val="18"/>
                <w:szCs w:val="18"/>
              </w:rPr>
            </w:pPr>
            <w:r w:rsidDel="00000000" w:rsidR="00000000" w:rsidRPr="00000000">
              <w:rPr>
                <w:sz w:val="18"/>
                <w:szCs w:val="18"/>
                <w:rtl w:val="0"/>
              </w:rPr>
              <w:t xml:space="preserve">N=169</w:t>
            </w:r>
          </w:p>
        </w:tc>
        <w:tc>
          <w:tcPr>
            <w:tcBorders>
              <w:left w:color="000000" w:space="0" w:sz="0" w:val="nil"/>
              <w:bottom w:color="000000" w:space="0" w:sz="4" w:val="single"/>
            </w:tcBorders>
            <w:shd w:fill="d9d9d9" w:val="clear"/>
          </w:tcPr>
          <w:p w:rsidR="00000000" w:rsidDel="00000000" w:rsidP="00000000" w:rsidRDefault="00000000" w:rsidRPr="00000000" w14:paraId="00000107">
            <w:pPr>
              <w:jc w:val="right"/>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08">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09">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0A">
            <w:pPr>
              <w:jc w:val="right"/>
              <w:rPr>
                <w:sz w:val="18"/>
                <w:szCs w:val="18"/>
              </w:rPr>
            </w:pPr>
            <w:r w:rsidDel="00000000" w:rsidR="00000000" w:rsidRPr="00000000">
              <w:rPr>
                <w:sz w:val="18"/>
                <w:szCs w:val="18"/>
                <w:rtl w:val="0"/>
              </w:rPr>
              <w:t xml:space="preserve">143 (85%)</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B">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C">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D">
            <w:pPr>
              <w:jc w:val="right"/>
              <w:rPr>
                <w:sz w:val="18"/>
                <w:szCs w:val="18"/>
              </w:rPr>
            </w:pPr>
            <w:r w:rsidDel="00000000" w:rsidR="00000000" w:rsidRPr="00000000">
              <w:rPr>
                <w:sz w:val="18"/>
                <w:szCs w:val="18"/>
                <w:rtl w:val="0"/>
              </w:rPr>
              <w:t xml:space="preserve">26 (15%)</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0E">
            <w:pPr>
              <w:rPr>
                <w:sz w:val="18"/>
                <w:szCs w:val="18"/>
              </w:rPr>
            </w:pPr>
            <w:r w:rsidDel="00000000" w:rsidR="00000000" w:rsidRPr="00000000">
              <w:rPr>
                <w:sz w:val="18"/>
                <w:szCs w:val="18"/>
                <w:rtl w:val="0"/>
              </w:rPr>
              <w:t xml:space="preserve">Transaminasas</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0F">
            <w:pPr>
              <w:jc w:val="right"/>
              <w:rPr>
                <w:sz w:val="18"/>
                <w:szCs w:val="18"/>
              </w:rPr>
            </w:pPr>
            <w:r w:rsidDel="00000000" w:rsidR="00000000" w:rsidRPr="00000000">
              <w:rPr>
                <w:sz w:val="18"/>
                <w:szCs w:val="18"/>
                <w:rtl w:val="0"/>
              </w:rPr>
              <w:t xml:space="preserve">N=169</w:t>
            </w:r>
          </w:p>
        </w:tc>
        <w:tc>
          <w:tcPr>
            <w:tcBorders>
              <w:left w:color="000000" w:space="0" w:sz="0" w:val="nil"/>
              <w:bottom w:color="000000" w:space="0" w:sz="4" w:val="single"/>
            </w:tcBorders>
            <w:shd w:fill="d9d9d9" w:val="clear"/>
          </w:tcPr>
          <w:p w:rsidR="00000000" w:rsidDel="00000000" w:rsidP="00000000" w:rsidRDefault="00000000" w:rsidRPr="00000000" w14:paraId="00000110">
            <w:pPr>
              <w:jc w:val="right"/>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11">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12">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13">
            <w:pPr>
              <w:jc w:val="right"/>
              <w:rPr>
                <w:sz w:val="18"/>
                <w:szCs w:val="18"/>
              </w:rPr>
            </w:pPr>
            <w:r w:rsidDel="00000000" w:rsidR="00000000" w:rsidRPr="00000000">
              <w:rPr>
                <w:sz w:val="18"/>
                <w:szCs w:val="18"/>
                <w:rtl w:val="0"/>
              </w:rPr>
              <w:t xml:space="preserve">141 (83%)</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4">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5">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6">
            <w:pPr>
              <w:jc w:val="right"/>
              <w:rPr>
                <w:sz w:val="18"/>
                <w:szCs w:val="18"/>
              </w:rPr>
            </w:pPr>
            <w:r w:rsidDel="00000000" w:rsidR="00000000" w:rsidRPr="00000000">
              <w:rPr>
                <w:sz w:val="18"/>
                <w:szCs w:val="18"/>
                <w:rtl w:val="0"/>
              </w:rPr>
              <w:t xml:space="preserve">28 (17%)</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17">
            <w:pPr>
              <w:rPr>
                <w:sz w:val="18"/>
                <w:szCs w:val="18"/>
              </w:rPr>
            </w:pPr>
            <w:r w:rsidDel="00000000" w:rsidR="00000000" w:rsidRPr="00000000">
              <w:rPr>
                <w:sz w:val="18"/>
                <w:szCs w:val="18"/>
                <w:rtl w:val="0"/>
              </w:rPr>
              <w:t xml:space="preserve">Hipercolesterolemia</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18">
            <w:pPr>
              <w:jc w:val="right"/>
              <w:rPr>
                <w:sz w:val="18"/>
                <w:szCs w:val="18"/>
              </w:rPr>
            </w:pPr>
            <w:r w:rsidDel="00000000" w:rsidR="00000000" w:rsidRPr="00000000">
              <w:rPr>
                <w:sz w:val="18"/>
                <w:szCs w:val="18"/>
                <w:rtl w:val="0"/>
              </w:rPr>
              <w:t xml:space="preserve">N=169</w:t>
            </w:r>
          </w:p>
        </w:tc>
        <w:tc>
          <w:tcPr>
            <w:tcBorders>
              <w:left w:color="000000" w:space="0" w:sz="0" w:val="nil"/>
              <w:bottom w:color="000000" w:space="0" w:sz="4" w:val="single"/>
            </w:tcBorders>
            <w:shd w:fill="d9d9d9" w:val="clear"/>
          </w:tcPr>
          <w:p w:rsidR="00000000" w:rsidDel="00000000" w:rsidP="00000000" w:rsidRDefault="00000000" w:rsidRPr="00000000" w14:paraId="00000119">
            <w:pPr>
              <w:jc w:val="right"/>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1A">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1B">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1C">
            <w:pPr>
              <w:jc w:val="right"/>
              <w:rPr>
                <w:sz w:val="18"/>
                <w:szCs w:val="18"/>
              </w:rPr>
            </w:pPr>
            <w:r w:rsidDel="00000000" w:rsidR="00000000" w:rsidRPr="00000000">
              <w:rPr>
                <w:sz w:val="18"/>
                <w:szCs w:val="18"/>
                <w:rtl w:val="0"/>
              </w:rPr>
              <w:t xml:space="preserve">97 (57%)</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D">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E">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F">
            <w:pPr>
              <w:jc w:val="right"/>
              <w:rPr>
                <w:b w:val="1"/>
                <w:sz w:val="18"/>
                <w:szCs w:val="18"/>
              </w:rPr>
            </w:pPr>
            <w:r w:rsidDel="00000000" w:rsidR="00000000" w:rsidRPr="00000000">
              <w:rPr>
                <w:b w:val="1"/>
                <w:sz w:val="18"/>
                <w:szCs w:val="18"/>
                <w:rtl w:val="0"/>
              </w:rPr>
              <w:t xml:space="preserve">72 (43%)</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20">
            <w:pPr>
              <w:rPr>
                <w:sz w:val="18"/>
                <w:szCs w:val="18"/>
              </w:rPr>
            </w:pPr>
            <w:r w:rsidDel="00000000" w:rsidR="00000000" w:rsidRPr="00000000">
              <w:rPr>
                <w:sz w:val="18"/>
                <w:szCs w:val="18"/>
                <w:rtl w:val="0"/>
              </w:rPr>
              <w:t xml:space="preserve">Hipertrigliceridemia</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21">
            <w:pPr>
              <w:jc w:val="right"/>
              <w:rPr>
                <w:sz w:val="18"/>
                <w:szCs w:val="18"/>
              </w:rPr>
            </w:pPr>
            <w:r w:rsidDel="00000000" w:rsidR="00000000" w:rsidRPr="00000000">
              <w:rPr>
                <w:sz w:val="18"/>
                <w:szCs w:val="18"/>
                <w:rtl w:val="0"/>
              </w:rPr>
              <w:t xml:space="preserve">N=169</w:t>
            </w:r>
          </w:p>
        </w:tc>
        <w:tc>
          <w:tcPr>
            <w:tcBorders>
              <w:left w:color="000000" w:space="0" w:sz="0" w:val="nil"/>
              <w:bottom w:color="000000" w:space="0" w:sz="4" w:val="single"/>
            </w:tcBorders>
            <w:shd w:fill="d9d9d9" w:val="clear"/>
          </w:tcPr>
          <w:p w:rsidR="00000000" w:rsidDel="00000000" w:rsidP="00000000" w:rsidRDefault="00000000" w:rsidRPr="00000000" w14:paraId="00000122">
            <w:pPr>
              <w:jc w:val="right"/>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23">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24">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25">
            <w:pPr>
              <w:jc w:val="right"/>
              <w:rPr>
                <w:sz w:val="18"/>
                <w:szCs w:val="18"/>
              </w:rPr>
            </w:pPr>
            <w:r w:rsidDel="00000000" w:rsidR="00000000" w:rsidRPr="00000000">
              <w:rPr>
                <w:sz w:val="18"/>
                <w:szCs w:val="18"/>
                <w:rtl w:val="0"/>
              </w:rPr>
              <w:t xml:space="preserve">131 (78%)</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6">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7">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8">
            <w:pPr>
              <w:jc w:val="right"/>
              <w:rPr>
                <w:sz w:val="18"/>
                <w:szCs w:val="18"/>
              </w:rPr>
            </w:pPr>
            <w:r w:rsidDel="00000000" w:rsidR="00000000" w:rsidRPr="00000000">
              <w:rPr>
                <w:sz w:val="18"/>
                <w:szCs w:val="18"/>
                <w:rtl w:val="0"/>
              </w:rPr>
              <w:t xml:space="preserve">38 (22%)</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29">
            <w:pPr>
              <w:rPr>
                <w:sz w:val="18"/>
                <w:szCs w:val="18"/>
              </w:rPr>
            </w:pPr>
            <w:r w:rsidDel="00000000" w:rsidR="00000000" w:rsidRPr="00000000">
              <w:rPr>
                <w:sz w:val="18"/>
                <w:szCs w:val="18"/>
                <w:rtl w:val="0"/>
              </w:rPr>
              <w:t xml:space="preserve">Hipertensión arterial</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2A">
            <w:pPr>
              <w:jc w:val="right"/>
              <w:rPr>
                <w:sz w:val="18"/>
                <w:szCs w:val="18"/>
              </w:rPr>
            </w:pPr>
            <w:r w:rsidDel="00000000" w:rsidR="00000000" w:rsidRPr="00000000">
              <w:rPr>
                <w:sz w:val="18"/>
                <w:szCs w:val="18"/>
                <w:rtl w:val="0"/>
              </w:rPr>
              <w:t xml:space="preserve">N=171</w:t>
            </w:r>
          </w:p>
        </w:tc>
        <w:tc>
          <w:tcPr>
            <w:tcBorders>
              <w:left w:color="000000" w:space="0" w:sz="0" w:val="nil"/>
              <w:bottom w:color="000000" w:space="0" w:sz="4" w:val="single"/>
            </w:tcBorders>
            <w:shd w:fill="d9d9d9" w:val="clear"/>
          </w:tcPr>
          <w:p w:rsidR="00000000" w:rsidDel="00000000" w:rsidP="00000000" w:rsidRDefault="00000000" w:rsidRPr="00000000" w14:paraId="0000012B">
            <w:pPr>
              <w:jc w:val="right"/>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2C">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2D">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2E">
            <w:pPr>
              <w:jc w:val="right"/>
              <w:rPr>
                <w:b w:val="1"/>
                <w:sz w:val="18"/>
                <w:szCs w:val="18"/>
              </w:rPr>
            </w:pPr>
            <w:r w:rsidDel="00000000" w:rsidR="00000000" w:rsidRPr="00000000">
              <w:rPr>
                <w:b w:val="1"/>
                <w:sz w:val="18"/>
                <w:szCs w:val="18"/>
                <w:rtl w:val="0"/>
              </w:rPr>
              <w:t xml:space="preserve">139 (81%)</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F">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0">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1">
            <w:pPr>
              <w:jc w:val="right"/>
              <w:rPr>
                <w:sz w:val="18"/>
                <w:szCs w:val="18"/>
              </w:rPr>
            </w:pPr>
            <w:r w:rsidDel="00000000" w:rsidR="00000000" w:rsidRPr="00000000">
              <w:rPr>
                <w:sz w:val="18"/>
                <w:szCs w:val="18"/>
                <w:rtl w:val="0"/>
              </w:rPr>
              <w:t xml:space="preserve">32 (19%)</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32">
            <w:pPr>
              <w:rPr>
                <w:sz w:val="18"/>
                <w:szCs w:val="18"/>
              </w:rPr>
            </w:pPr>
            <w:r w:rsidDel="00000000" w:rsidR="00000000" w:rsidRPr="00000000">
              <w:rPr>
                <w:sz w:val="18"/>
                <w:szCs w:val="18"/>
                <w:rtl w:val="0"/>
              </w:rPr>
              <w:t xml:space="preserve">Hiperuricemia</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33">
            <w:pPr>
              <w:jc w:val="right"/>
              <w:rPr>
                <w:sz w:val="18"/>
                <w:szCs w:val="18"/>
              </w:rPr>
            </w:pPr>
            <w:r w:rsidDel="00000000" w:rsidR="00000000" w:rsidRPr="00000000">
              <w:rPr>
                <w:sz w:val="18"/>
                <w:szCs w:val="18"/>
                <w:rtl w:val="0"/>
              </w:rPr>
              <w:t xml:space="preserve">N=169</w:t>
            </w:r>
          </w:p>
        </w:tc>
        <w:tc>
          <w:tcPr>
            <w:tcBorders>
              <w:left w:color="000000" w:space="0" w:sz="0" w:val="nil"/>
              <w:bottom w:color="000000" w:space="0" w:sz="4" w:val="single"/>
            </w:tcBorders>
            <w:shd w:fill="d9d9d9" w:val="clear"/>
          </w:tcPr>
          <w:p w:rsidR="00000000" w:rsidDel="00000000" w:rsidP="00000000" w:rsidRDefault="00000000" w:rsidRPr="00000000" w14:paraId="00000134">
            <w:pPr>
              <w:jc w:val="right"/>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35">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36">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37">
            <w:pPr>
              <w:jc w:val="right"/>
              <w:rPr>
                <w:sz w:val="18"/>
                <w:szCs w:val="18"/>
              </w:rPr>
            </w:pPr>
            <w:r w:rsidDel="00000000" w:rsidR="00000000" w:rsidRPr="00000000">
              <w:rPr>
                <w:sz w:val="18"/>
                <w:szCs w:val="18"/>
                <w:rtl w:val="0"/>
              </w:rPr>
              <w:t xml:space="preserve">144 (85%)</w:t>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38">
            <w:pPr>
              <w:rPr>
                <w:sz w:val="18"/>
                <w:szCs w:val="18"/>
              </w:rPr>
            </w:pPr>
            <w:r w:rsidDel="00000000" w:rsidR="00000000" w:rsidRPr="00000000">
              <w:rPr>
                <w:sz w:val="18"/>
                <w:szCs w:val="18"/>
                <w:rtl w:val="0"/>
              </w:rPr>
              <w:t xml:space="preserve">Si</w:t>
            </w:r>
          </w:p>
        </w:tc>
        <w:tc>
          <w:tcPr>
            <w:tcBorders>
              <w:top w:color="000000" w:space="0" w:sz="0" w:val="nil"/>
              <w:left w:color="000000" w:space="0" w:sz="0" w:val="nil"/>
              <w:right w:color="000000" w:space="0" w:sz="0" w:val="nil"/>
            </w:tcBorders>
          </w:tcPr>
          <w:p w:rsidR="00000000" w:rsidDel="00000000" w:rsidP="00000000" w:rsidRDefault="00000000" w:rsidRPr="00000000" w14:paraId="00000139">
            <w:pPr>
              <w:rPr>
                <w:sz w:val="18"/>
                <w:szCs w:val="18"/>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3A">
            <w:pPr>
              <w:jc w:val="right"/>
              <w:rPr>
                <w:sz w:val="18"/>
                <w:szCs w:val="18"/>
              </w:rPr>
            </w:pPr>
            <w:r w:rsidDel="00000000" w:rsidR="00000000" w:rsidRPr="00000000">
              <w:rPr>
                <w:sz w:val="18"/>
                <w:szCs w:val="18"/>
                <w:rtl w:val="0"/>
              </w:rPr>
              <w:t xml:space="preserve">25 (15%)</w:t>
            </w:r>
          </w:p>
        </w:tc>
      </w:tr>
      <w:tr>
        <w:trPr>
          <w:cantSplit w:val="0"/>
          <w:tblHeader w:val="0"/>
        </w:trPr>
        <w:tc>
          <w:tcPr>
            <w:gridSpan w:val="3"/>
            <w:tcBorders>
              <w:bottom w:color="000000" w:space="0" w:sz="4" w:val="single"/>
            </w:tcBorders>
            <w:shd w:fill="a6a6a6" w:val="clear"/>
          </w:tcPr>
          <w:p w:rsidR="00000000" w:rsidDel="00000000" w:rsidP="00000000" w:rsidRDefault="00000000" w:rsidRPr="00000000" w14:paraId="0000013B">
            <w:pPr>
              <w:jc w:val="center"/>
              <w:rPr>
                <w:sz w:val="18"/>
                <w:szCs w:val="18"/>
              </w:rPr>
            </w:pPr>
            <w:r w:rsidDel="00000000" w:rsidR="00000000" w:rsidRPr="00000000">
              <w:rPr>
                <w:b w:val="1"/>
                <w:sz w:val="18"/>
                <w:szCs w:val="18"/>
                <w:rtl w:val="0"/>
              </w:rPr>
              <w:t xml:space="preserve">Consumo de tóxicos</w:t>
            </w:r>
            <w:r w:rsidDel="00000000" w:rsidR="00000000" w:rsidRPr="00000000">
              <w:rPr>
                <w:rtl w:val="0"/>
              </w:rPr>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3E">
            <w:pPr>
              <w:rPr>
                <w:sz w:val="18"/>
                <w:szCs w:val="18"/>
              </w:rPr>
            </w:pPr>
            <w:r w:rsidDel="00000000" w:rsidR="00000000" w:rsidRPr="00000000">
              <w:rPr>
                <w:sz w:val="18"/>
                <w:szCs w:val="18"/>
                <w:rtl w:val="0"/>
              </w:rPr>
              <w:t xml:space="preserve">Tabaco</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3F">
            <w:pPr>
              <w:jc w:val="right"/>
              <w:rPr>
                <w:sz w:val="18"/>
                <w:szCs w:val="18"/>
              </w:rPr>
            </w:pPr>
            <w:r w:rsidDel="00000000" w:rsidR="00000000" w:rsidRPr="00000000">
              <w:rPr>
                <w:sz w:val="18"/>
                <w:szCs w:val="18"/>
                <w:rtl w:val="0"/>
              </w:rPr>
              <w:t xml:space="preserve">N=169</w:t>
            </w:r>
          </w:p>
        </w:tc>
        <w:tc>
          <w:tcPr>
            <w:tcBorders>
              <w:left w:color="000000" w:space="0" w:sz="0" w:val="nil"/>
              <w:bottom w:color="000000" w:space="0" w:sz="4" w:val="single"/>
            </w:tcBorders>
            <w:shd w:fill="d9d9d9" w:val="clear"/>
          </w:tcPr>
          <w:p w:rsidR="00000000" w:rsidDel="00000000" w:rsidP="00000000" w:rsidRDefault="00000000" w:rsidRPr="00000000" w14:paraId="00000140">
            <w:pPr>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41">
            <w:pPr>
              <w:rPr>
                <w:sz w:val="18"/>
                <w:szCs w:val="18"/>
              </w:rPr>
            </w:pPr>
            <w:r w:rsidDel="00000000" w:rsidR="00000000" w:rsidRPr="00000000">
              <w:rPr>
                <w:sz w:val="18"/>
                <w:szCs w:val="18"/>
                <w:rtl w:val="0"/>
              </w:rPr>
              <w:t xml:space="preserve">No fumador</w:t>
            </w:r>
          </w:p>
        </w:tc>
        <w:tc>
          <w:tcPr>
            <w:tcBorders>
              <w:left w:color="000000" w:space="0" w:sz="0" w:val="nil"/>
              <w:bottom w:color="000000" w:space="0" w:sz="0" w:val="nil"/>
              <w:right w:color="000000" w:space="0" w:sz="0" w:val="nil"/>
            </w:tcBorders>
          </w:tcPr>
          <w:p w:rsidR="00000000" w:rsidDel="00000000" w:rsidP="00000000" w:rsidRDefault="00000000" w:rsidRPr="00000000" w14:paraId="00000142">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43">
            <w:pPr>
              <w:jc w:val="right"/>
              <w:rPr>
                <w:sz w:val="18"/>
                <w:szCs w:val="18"/>
              </w:rPr>
            </w:pPr>
            <w:r w:rsidDel="00000000" w:rsidR="00000000" w:rsidRPr="00000000">
              <w:rPr>
                <w:sz w:val="18"/>
                <w:szCs w:val="18"/>
                <w:rtl w:val="0"/>
              </w:rPr>
              <w:t xml:space="preserve">98 (58%)</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4">
            <w:pPr>
              <w:rPr>
                <w:sz w:val="18"/>
                <w:szCs w:val="18"/>
              </w:rPr>
            </w:pPr>
            <w:r w:rsidDel="00000000" w:rsidR="00000000" w:rsidRPr="00000000">
              <w:rPr>
                <w:sz w:val="18"/>
                <w:szCs w:val="18"/>
                <w:rtl w:val="0"/>
              </w:rPr>
              <w:t xml:space="preserve">Fumador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6">
            <w:pPr>
              <w:jc w:val="right"/>
              <w:rPr>
                <w:b w:val="1"/>
                <w:sz w:val="18"/>
                <w:szCs w:val="18"/>
              </w:rPr>
            </w:pPr>
            <w:r w:rsidDel="00000000" w:rsidR="00000000" w:rsidRPr="00000000">
              <w:rPr>
                <w:b w:val="1"/>
                <w:sz w:val="18"/>
                <w:szCs w:val="18"/>
                <w:rtl w:val="0"/>
              </w:rPr>
              <w:t xml:space="preserve">63 (37%)</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47">
            <w:pPr>
              <w:rPr>
                <w:sz w:val="18"/>
                <w:szCs w:val="18"/>
              </w:rPr>
            </w:pPr>
            <w:r w:rsidDel="00000000" w:rsidR="00000000" w:rsidRPr="00000000">
              <w:rPr>
                <w:sz w:val="18"/>
                <w:szCs w:val="18"/>
                <w:rtl w:val="0"/>
              </w:rPr>
              <w:t xml:space="preserve">Exfumador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48">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49">
            <w:pPr>
              <w:jc w:val="right"/>
              <w:rPr>
                <w:sz w:val="18"/>
                <w:szCs w:val="18"/>
              </w:rPr>
            </w:pPr>
            <w:r w:rsidDel="00000000" w:rsidR="00000000" w:rsidRPr="00000000">
              <w:rPr>
                <w:sz w:val="18"/>
                <w:szCs w:val="18"/>
                <w:rtl w:val="0"/>
              </w:rPr>
              <w:t xml:space="preserve">8 (5%)</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4A">
            <w:pPr>
              <w:rPr>
                <w:sz w:val="18"/>
                <w:szCs w:val="18"/>
              </w:rPr>
            </w:pPr>
            <w:r w:rsidDel="00000000" w:rsidR="00000000" w:rsidRPr="00000000">
              <w:rPr>
                <w:sz w:val="18"/>
                <w:szCs w:val="18"/>
                <w:rtl w:val="0"/>
              </w:rPr>
              <w:t xml:space="preserve">Alcohol</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4B">
            <w:pPr>
              <w:jc w:val="right"/>
              <w:rPr>
                <w:sz w:val="18"/>
                <w:szCs w:val="18"/>
              </w:rPr>
            </w:pPr>
            <w:r w:rsidDel="00000000" w:rsidR="00000000" w:rsidRPr="00000000">
              <w:rPr>
                <w:sz w:val="18"/>
                <w:szCs w:val="18"/>
                <w:rtl w:val="0"/>
              </w:rPr>
              <w:t xml:space="preserve">N=168</w:t>
            </w:r>
          </w:p>
        </w:tc>
        <w:tc>
          <w:tcPr>
            <w:tcBorders>
              <w:left w:color="000000" w:space="0" w:sz="0" w:val="nil"/>
              <w:bottom w:color="000000" w:space="0" w:sz="4" w:val="single"/>
            </w:tcBorders>
            <w:shd w:fill="d9d9d9" w:val="clear"/>
          </w:tcPr>
          <w:p w:rsidR="00000000" w:rsidDel="00000000" w:rsidP="00000000" w:rsidRDefault="00000000" w:rsidRPr="00000000" w14:paraId="0000014C">
            <w:pPr>
              <w:rPr>
                <w:sz w:val="18"/>
                <w:szCs w:val="18"/>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4D">
            <w:pPr>
              <w:rPr>
                <w:sz w:val="18"/>
                <w:szCs w:val="18"/>
              </w:rPr>
            </w:pPr>
            <w:r w:rsidDel="00000000" w:rsidR="00000000" w:rsidRPr="00000000">
              <w:rPr>
                <w:sz w:val="18"/>
                <w:szCs w:val="18"/>
                <w:rtl w:val="0"/>
              </w:rPr>
              <w:t xml:space="preserve">No</w:t>
            </w:r>
          </w:p>
        </w:tc>
        <w:tc>
          <w:tcPr>
            <w:tcBorders>
              <w:left w:color="000000" w:space="0" w:sz="0" w:val="nil"/>
              <w:bottom w:color="000000" w:space="0" w:sz="0" w:val="nil"/>
              <w:right w:color="000000" w:space="0" w:sz="0" w:val="nil"/>
            </w:tcBorders>
          </w:tcPr>
          <w:p w:rsidR="00000000" w:rsidDel="00000000" w:rsidP="00000000" w:rsidRDefault="00000000" w:rsidRPr="00000000" w14:paraId="0000014E">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4F">
            <w:pPr>
              <w:jc w:val="right"/>
              <w:rPr>
                <w:sz w:val="18"/>
                <w:szCs w:val="18"/>
              </w:rPr>
            </w:pPr>
            <w:r w:rsidDel="00000000" w:rsidR="00000000" w:rsidRPr="00000000">
              <w:rPr>
                <w:sz w:val="18"/>
                <w:szCs w:val="18"/>
                <w:rtl w:val="0"/>
              </w:rPr>
              <w:t xml:space="preserve">139 (83%)</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0">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1">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2">
            <w:pPr>
              <w:jc w:val="right"/>
              <w:rPr>
                <w:b w:val="1"/>
                <w:sz w:val="18"/>
                <w:szCs w:val="18"/>
              </w:rPr>
            </w:pPr>
            <w:r w:rsidDel="00000000" w:rsidR="00000000" w:rsidRPr="00000000">
              <w:rPr>
                <w:b w:val="1"/>
                <w:sz w:val="18"/>
                <w:szCs w:val="18"/>
                <w:rtl w:val="0"/>
              </w:rPr>
              <w:t xml:space="preserve">29 (17%)</w:t>
            </w:r>
          </w:p>
        </w:tc>
      </w:tr>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53">
            <w:pPr>
              <w:rPr>
                <w:sz w:val="18"/>
                <w:szCs w:val="18"/>
              </w:rPr>
            </w:pPr>
            <w:r w:rsidDel="00000000" w:rsidR="00000000" w:rsidRPr="00000000">
              <w:rPr>
                <w:sz w:val="18"/>
                <w:szCs w:val="18"/>
                <w:rtl w:val="0"/>
              </w:rPr>
              <w:t xml:space="preserve">Drogas</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54">
            <w:pPr>
              <w:jc w:val="right"/>
              <w:rPr>
                <w:sz w:val="18"/>
                <w:szCs w:val="18"/>
              </w:rPr>
            </w:pPr>
            <w:r w:rsidDel="00000000" w:rsidR="00000000" w:rsidRPr="00000000">
              <w:rPr>
                <w:sz w:val="18"/>
                <w:szCs w:val="18"/>
                <w:rtl w:val="0"/>
              </w:rPr>
              <w:t xml:space="preserve">N=168</w:t>
            </w:r>
          </w:p>
        </w:tc>
        <w:tc>
          <w:tcPr>
            <w:tcBorders>
              <w:left w:color="000000" w:space="0" w:sz="0" w:val="nil"/>
              <w:bottom w:color="000000" w:space="0" w:sz="4" w:val="single"/>
            </w:tcBorders>
            <w:shd w:fill="d9d9d9" w:val="clear"/>
          </w:tcPr>
          <w:p w:rsidR="00000000" w:rsidDel="00000000" w:rsidP="00000000" w:rsidRDefault="00000000" w:rsidRPr="00000000" w14:paraId="00000155">
            <w:pPr>
              <w:rPr>
                <w:sz w:val="18"/>
                <w:szCs w:val="18"/>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6">
            <w:pPr>
              <w:rPr>
                <w:sz w:val="18"/>
                <w:szCs w:val="18"/>
              </w:rPr>
            </w:pPr>
            <w:r w:rsidDel="00000000" w:rsidR="00000000" w:rsidRPr="00000000">
              <w:rPr>
                <w:sz w:val="18"/>
                <w:szCs w:val="18"/>
                <w:rtl w:val="0"/>
              </w:rPr>
              <w:t xml:space="preserve">No</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7">
            <w:pPr>
              <w:rPr>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8">
            <w:pPr>
              <w:jc w:val="right"/>
              <w:rPr>
                <w:sz w:val="18"/>
                <w:szCs w:val="18"/>
              </w:rPr>
            </w:pPr>
            <w:r w:rsidDel="00000000" w:rsidR="00000000" w:rsidRPr="00000000">
              <w:rPr>
                <w:sz w:val="18"/>
                <w:szCs w:val="18"/>
                <w:rtl w:val="0"/>
              </w:rPr>
              <w:t xml:space="preserve">158 (94%)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9">
            <w:pPr>
              <w:rPr>
                <w:sz w:val="18"/>
                <w:szCs w:val="18"/>
              </w:rPr>
            </w:pPr>
            <w:r w:rsidDel="00000000" w:rsidR="00000000" w:rsidRPr="00000000">
              <w:rPr>
                <w:sz w:val="18"/>
                <w:szCs w:val="18"/>
                <w:rtl w:val="0"/>
              </w:rPr>
              <w:t xml:space="preserve">Si</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B">
            <w:pPr>
              <w:jc w:val="right"/>
              <w:rPr>
                <w:b w:val="1"/>
                <w:sz w:val="18"/>
                <w:szCs w:val="18"/>
              </w:rPr>
            </w:pPr>
            <w:r w:rsidDel="00000000" w:rsidR="00000000" w:rsidRPr="00000000">
              <w:rPr>
                <w:b w:val="1"/>
                <w:sz w:val="18"/>
                <w:szCs w:val="18"/>
                <w:rtl w:val="0"/>
              </w:rPr>
              <w:t xml:space="preserve">10 (6%)</w:t>
            </w:r>
          </w:p>
          <w:p w:rsidR="00000000" w:rsidDel="00000000" w:rsidP="00000000" w:rsidRDefault="00000000" w:rsidRPr="00000000" w14:paraId="0000015C">
            <w:pPr>
              <w:jc w:val="right"/>
              <w:rPr>
                <w:b w:val="1"/>
                <w:sz w:val="18"/>
                <w:szCs w:val="18"/>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D">
            <w:pPr>
              <w:rPr>
                <w:sz w:val="18"/>
                <w:szCs w:val="18"/>
              </w:rPr>
            </w:pPr>
            <w:r w:rsidDel="00000000" w:rsidR="00000000" w:rsidRPr="00000000">
              <w:rPr>
                <w:sz w:val="18"/>
                <w:szCs w:val="18"/>
                <w:rtl w:val="0"/>
              </w:rPr>
              <w:t xml:space="preserve">*Representa la media y (DE) .</w:t>
            </w:r>
          </w:p>
          <w:p w:rsidR="00000000" w:rsidDel="00000000" w:rsidP="00000000" w:rsidRDefault="00000000" w:rsidRPr="00000000" w14:paraId="0000015E">
            <w:pPr>
              <w:rPr>
                <w:sz w:val="18"/>
                <w:szCs w:val="18"/>
              </w:rPr>
            </w:pPr>
            <w:r w:rsidDel="00000000" w:rsidR="00000000" w:rsidRPr="00000000">
              <w:rPr>
                <w:rtl w:val="0"/>
              </w:rPr>
            </w:r>
          </w:p>
          <w:p w:rsidR="00000000" w:rsidDel="00000000" w:rsidP="00000000" w:rsidRDefault="00000000" w:rsidRPr="00000000" w14:paraId="0000015F">
            <w:pPr>
              <w:rPr>
                <w:sz w:val="18"/>
                <w:szCs w:val="18"/>
              </w:rPr>
            </w:pPr>
            <w:r w:rsidDel="00000000" w:rsidR="00000000" w:rsidRPr="00000000">
              <w:rPr>
                <w:rtl w:val="0"/>
              </w:rPr>
            </w:r>
          </w:p>
          <w:p w:rsidR="00000000" w:rsidDel="00000000" w:rsidP="00000000" w:rsidRDefault="00000000" w:rsidRPr="00000000" w14:paraId="00000160">
            <w:pPr>
              <w:rPr>
                <w:sz w:val="18"/>
                <w:szCs w:val="18"/>
              </w:rPr>
            </w:pPr>
            <w:r w:rsidDel="00000000" w:rsidR="00000000" w:rsidRPr="00000000">
              <w:rPr>
                <w:rtl w:val="0"/>
              </w:rPr>
            </w:r>
          </w:p>
          <w:p w:rsidR="00000000" w:rsidDel="00000000" w:rsidP="00000000" w:rsidRDefault="00000000" w:rsidRPr="00000000" w14:paraId="00000161">
            <w:pPr>
              <w:rPr>
                <w:sz w:val="18"/>
                <w:szCs w:val="18"/>
              </w:rPr>
            </w:pPr>
            <w:r w:rsidDel="00000000" w:rsidR="00000000" w:rsidRPr="00000000">
              <w:rPr>
                <w:rtl w:val="0"/>
              </w:rPr>
            </w:r>
          </w:p>
          <w:p w:rsidR="00000000" w:rsidDel="00000000" w:rsidP="00000000" w:rsidRDefault="00000000" w:rsidRPr="00000000" w14:paraId="00000162">
            <w:pPr>
              <w:rPr>
                <w:sz w:val="18"/>
                <w:szCs w:val="18"/>
              </w:rPr>
            </w:pPr>
            <w:r w:rsidDel="00000000" w:rsidR="00000000" w:rsidRPr="00000000">
              <w:rPr>
                <w:rtl w:val="0"/>
              </w:rPr>
            </w:r>
          </w:p>
          <w:p w:rsidR="00000000" w:rsidDel="00000000" w:rsidP="00000000" w:rsidRDefault="00000000" w:rsidRPr="00000000" w14:paraId="00000163">
            <w:pPr>
              <w:rPr>
                <w:sz w:val="18"/>
                <w:szCs w:val="18"/>
              </w:rPr>
            </w:pPr>
            <w:r w:rsidDel="00000000" w:rsidR="00000000" w:rsidRPr="00000000">
              <w:rPr>
                <w:rtl w:val="0"/>
              </w:rPr>
            </w:r>
          </w:p>
          <w:p w:rsidR="00000000" w:rsidDel="00000000" w:rsidP="00000000" w:rsidRDefault="00000000" w:rsidRPr="00000000" w14:paraId="00000164">
            <w:pPr>
              <w:rPr>
                <w:sz w:val="18"/>
                <w:szCs w:val="18"/>
              </w:rPr>
            </w:pPr>
            <w:r w:rsidDel="00000000" w:rsidR="00000000" w:rsidRPr="00000000">
              <w:rPr>
                <w:rtl w:val="0"/>
              </w:rPr>
            </w:r>
          </w:p>
          <w:p w:rsidR="00000000" w:rsidDel="00000000" w:rsidP="00000000" w:rsidRDefault="00000000" w:rsidRPr="00000000" w14:paraId="00000165">
            <w:pPr>
              <w:rPr>
                <w:sz w:val="18"/>
                <w:szCs w:val="18"/>
              </w:rPr>
            </w:pPr>
            <w:r w:rsidDel="00000000" w:rsidR="00000000" w:rsidRPr="00000000">
              <w:rPr>
                <w:rtl w:val="0"/>
              </w:rPr>
            </w:r>
          </w:p>
          <w:p w:rsidR="00000000" w:rsidDel="00000000" w:rsidP="00000000" w:rsidRDefault="00000000" w:rsidRPr="00000000" w14:paraId="00000166">
            <w:pPr>
              <w:rPr>
                <w:sz w:val="18"/>
                <w:szCs w:val="18"/>
              </w:rPr>
            </w:pPr>
            <w:r w:rsidDel="00000000" w:rsidR="00000000" w:rsidRPr="00000000">
              <w:rPr>
                <w:rtl w:val="0"/>
              </w:rPr>
            </w:r>
          </w:p>
          <w:p w:rsidR="00000000" w:rsidDel="00000000" w:rsidP="00000000" w:rsidRDefault="00000000" w:rsidRPr="00000000" w14:paraId="00000167">
            <w:pPr>
              <w:rPr>
                <w:sz w:val="18"/>
                <w:szCs w:val="18"/>
              </w:rPr>
            </w:pPr>
            <w:r w:rsidDel="00000000" w:rsidR="00000000" w:rsidRPr="00000000">
              <w:rPr>
                <w:rtl w:val="0"/>
              </w:rPr>
            </w:r>
          </w:p>
          <w:p w:rsidR="00000000" w:rsidDel="00000000" w:rsidP="00000000" w:rsidRDefault="00000000" w:rsidRPr="00000000" w14:paraId="00000168">
            <w:pPr>
              <w:rPr>
                <w:sz w:val="18"/>
                <w:szCs w:val="18"/>
              </w:rPr>
            </w:pPr>
            <w:r w:rsidDel="00000000" w:rsidR="00000000" w:rsidRPr="00000000">
              <w:rPr>
                <w:rtl w:val="0"/>
              </w:rPr>
            </w:r>
          </w:p>
          <w:p w:rsidR="00000000" w:rsidDel="00000000" w:rsidP="00000000" w:rsidRDefault="00000000" w:rsidRPr="00000000" w14:paraId="00000169">
            <w:pPr>
              <w:rPr>
                <w:sz w:val="18"/>
                <w:szCs w:val="18"/>
              </w:rPr>
            </w:pPr>
            <w:r w:rsidDel="00000000" w:rsidR="00000000" w:rsidRPr="00000000">
              <w:rPr>
                <w:rtl w:val="0"/>
              </w:rPr>
            </w:r>
          </w:p>
          <w:p w:rsidR="00000000" w:rsidDel="00000000" w:rsidP="00000000" w:rsidRDefault="00000000" w:rsidRPr="00000000" w14:paraId="0000016A">
            <w:pPr>
              <w:rPr>
                <w:sz w:val="18"/>
                <w:szCs w:val="18"/>
              </w:rPr>
            </w:pPr>
            <w:r w:rsidDel="00000000" w:rsidR="00000000" w:rsidRPr="00000000">
              <w:rPr>
                <w:rtl w:val="0"/>
              </w:rPr>
            </w:r>
          </w:p>
          <w:p w:rsidR="00000000" w:rsidDel="00000000" w:rsidP="00000000" w:rsidRDefault="00000000" w:rsidRPr="00000000" w14:paraId="0000016B">
            <w:pPr>
              <w:rPr>
                <w:sz w:val="18"/>
                <w:szCs w:val="18"/>
              </w:rPr>
            </w:pPr>
            <w:r w:rsidDel="00000000" w:rsidR="00000000" w:rsidRPr="00000000">
              <w:rPr>
                <w:rtl w:val="0"/>
              </w:rPr>
            </w:r>
          </w:p>
          <w:p w:rsidR="00000000" w:rsidDel="00000000" w:rsidP="00000000" w:rsidRDefault="00000000" w:rsidRPr="00000000" w14:paraId="0000016C">
            <w:pPr>
              <w:rPr>
                <w:sz w:val="18"/>
                <w:szCs w:val="18"/>
              </w:rPr>
            </w:pPr>
            <w:r w:rsidDel="00000000" w:rsidR="00000000" w:rsidRPr="00000000">
              <w:rPr>
                <w:rtl w:val="0"/>
              </w:rPr>
            </w:r>
          </w:p>
          <w:p w:rsidR="00000000" w:rsidDel="00000000" w:rsidP="00000000" w:rsidRDefault="00000000" w:rsidRPr="00000000" w14:paraId="0000016D">
            <w:pPr>
              <w:rPr>
                <w:sz w:val="18"/>
                <w:szCs w:val="18"/>
              </w:rPr>
            </w:pPr>
            <w:r w:rsidDel="00000000" w:rsidR="00000000" w:rsidRPr="00000000">
              <w:rPr>
                <w:rtl w:val="0"/>
              </w:rPr>
            </w:r>
          </w:p>
          <w:p w:rsidR="00000000" w:rsidDel="00000000" w:rsidP="00000000" w:rsidRDefault="00000000" w:rsidRPr="00000000" w14:paraId="0000016E">
            <w:pPr>
              <w:rPr>
                <w:sz w:val="18"/>
                <w:szCs w:val="18"/>
              </w:rPr>
            </w:pPr>
            <w:r w:rsidDel="00000000" w:rsidR="00000000" w:rsidRPr="00000000">
              <w:rPr>
                <w:rtl w:val="0"/>
              </w:rPr>
            </w:r>
          </w:p>
          <w:p w:rsidR="00000000" w:rsidDel="00000000" w:rsidP="00000000" w:rsidRDefault="00000000" w:rsidRPr="00000000" w14:paraId="0000016F">
            <w:pPr>
              <w:rPr>
                <w:sz w:val="18"/>
                <w:szCs w:val="18"/>
              </w:rPr>
            </w:pPr>
            <w:r w:rsidDel="00000000" w:rsidR="00000000" w:rsidRPr="00000000">
              <w:rPr>
                <w:rtl w:val="0"/>
              </w:rPr>
            </w:r>
          </w:p>
          <w:p w:rsidR="00000000" w:rsidDel="00000000" w:rsidP="00000000" w:rsidRDefault="00000000" w:rsidRPr="00000000" w14:paraId="00000170">
            <w:pPr>
              <w:rPr>
                <w:sz w:val="18"/>
                <w:szCs w:val="18"/>
              </w:rPr>
            </w:pPr>
            <w:r w:rsidDel="00000000" w:rsidR="00000000" w:rsidRPr="00000000">
              <w:rPr>
                <w:rtl w:val="0"/>
              </w:rPr>
            </w:r>
          </w:p>
          <w:p w:rsidR="00000000" w:rsidDel="00000000" w:rsidP="00000000" w:rsidRDefault="00000000" w:rsidRPr="00000000" w14:paraId="00000171">
            <w:pPr>
              <w:rPr>
                <w:sz w:val="18"/>
                <w:szCs w:val="18"/>
              </w:rPr>
            </w:pPr>
            <w:r w:rsidDel="00000000" w:rsidR="00000000" w:rsidRPr="00000000">
              <w:rPr>
                <w:rtl w:val="0"/>
              </w:rPr>
            </w:r>
          </w:p>
          <w:p w:rsidR="00000000" w:rsidDel="00000000" w:rsidP="00000000" w:rsidRDefault="00000000" w:rsidRPr="00000000" w14:paraId="00000172">
            <w:pPr>
              <w:rPr>
                <w:sz w:val="18"/>
                <w:szCs w:val="18"/>
              </w:rPr>
            </w:pPr>
            <w:r w:rsidDel="00000000" w:rsidR="00000000" w:rsidRPr="00000000">
              <w:rPr>
                <w:rtl w:val="0"/>
              </w:rPr>
            </w:r>
          </w:p>
          <w:p w:rsidR="00000000" w:rsidDel="00000000" w:rsidP="00000000" w:rsidRDefault="00000000" w:rsidRPr="00000000" w14:paraId="00000173">
            <w:pPr>
              <w:rPr>
                <w:sz w:val="18"/>
                <w:szCs w:val="18"/>
              </w:rPr>
            </w:pPr>
            <w:r w:rsidDel="00000000" w:rsidR="00000000" w:rsidRPr="00000000">
              <w:rPr>
                <w:rtl w:val="0"/>
              </w:rPr>
            </w:r>
          </w:p>
          <w:p w:rsidR="00000000" w:rsidDel="00000000" w:rsidP="00000000" w:rsidRDefault="00000000" w:rsidRPr="00000000" w14:paraId="00000174">
            <w:pPr>
              <w:rPr>
                <w:sz w:val="18"/>
                <w:szCs w:val="18"/>
              </w:rPr>
            </w:pPr>
            <w:r w:rsidDel="00000000" w:rsidR="00000000" w:rsidRPr="00000000">
              <w:rPr>
                <w:rtl w:val="0"/>
              </w:rPr>
            </w:r>
          </w:p>
          <w:p w:rsidR="00000000" w:rsidDel="00000000" w:rsidP="00000000" w:rsidRDefault="00000000" w:rsidRPr="00000000" w14:paraId="00000175">
            <w:pPr>
              <w:rPr>
                <w:sz w:val="18"/>
                <w:szCs w:val="18"/>
              </w:rPr>
            </w:pPr>
            <w:r w:rsidDel="00000000" w:rsidR="00000000" w:rsidRPr="00000000">
              <w:rPr>
                <w:rtl w:val="0"/>
              </w:rPr>
            </w:r>
          </w:p>
          <w:p w:rsidR="00000000" w:rsidDel="00000000" w:rsidP="00000000" w:rsidRDefault="00000000" w:rsidRPr="00000000" w14:paraId="00000176">
            <w:pPr>
              <w:rPr>
                <w:sz w:val="18"/>
                <w:szCs w:val="18"/>
              </w:rPr>
            </w:pPr>
            <w:r w:rsidDel="00000000" w:rsidR="00000000" w:rsidRPr="00000000">
              <w:rPr>
                <w:rtl w:val="0"/>
              </w:rPr>
            </w:r>
          </w:p>
          <w:p w:rsidR="00000000" w:rsidDel="00000000" w:rsidP="00000000" w:rsidRDefault="00000000" w:rsidRPr="00000000" w14:paraId="00000177">
            <w:pPr>
              <w:rPr>
                <w:sz w:val="18"/>
                <w:szCs w:val="18"/>
              </w:rPr>
            </w:pPr>
            <w:r w:rsidDel="00000000" w:rsidR="00000000" w:rsidRPr="00000000">
              <w:rPr>
                <w:rtl w:val="0"/>
              </w:rPr>
            </w:r>
          </w:p>
          <w:p w:rsidR="00000000" w:rsidDel="00000000" w:rsidP="00000000" w:rsidRDefault="00000000" w:rsidRPr="00000000" w14:paraId="00000178">
            <w:pPr>
              <w:rPr>
                <w:sz w:val="18"/>
                <w:szCs w:val="18"/>
              </w:rPr>
            </w:pPr>
            <w:r w:rsidDel="00000000" w:rsidR="00000000" w:rsidRPr="00000000">
              <w:rPr>
                <w:rtl w:val="0"/>
              </w:rPr>
            </w:r>
          </w:p>
          <w:p w:rsidR="00000000" w:rsidDel="00000000" w:rsidP="00000000" w:rsidRDefault="00000000" w:rsidRPr="00000000" w14:paraId="00000179">
            <w:pPr>
              <w:rPr>
                <w:sz w:val="18"/>
                <w:szCs w:val="18"/>
              </w:rPr>
            </w:pPr>
            <w:r w:rsidDel="00000000" w:rsidR="00000000" w:rsidRPr="00000000">
              <w:rPr>
                <w:rtl w:val="0"/>
              </w:rPr>
            </w:r>
          </w:p>
          <w:p w:rsidR="00000000" w:rsidDel="00000000" w:rsidP="00000000" w:rsidRDefault="00000000" w:rsidRPr="00000000" w14:paraId="0000017A">
            <w:pPr>
              <w:rPr>
                <w:sz w:val="18"/>
                <w:szCs w:val="18"/>
              </w:rPr>
            </w:pPr>
            <w:r w:rsidDel="00000000" w:rsidR="00000000" w:rsidRPr="00000000">
              <w:rPr>
                <w:rtl w:val="0"/>
              </w:rPr>
            </w:r>
          </w:p>
          <w:p w:rsidR="00000000" w:rsidDel="00000000" w:rsidP="00000000" w:rsidRDefault="00000000" w:rsidRPr="00000000" w14:paraId="0000017B">
            <w:pPr>
              <w:rPr>
                <w:sz w:val="18"/>
                <w:szCs w:val="18"/>
              </w:rPr>
            </w:pPr>
            <w:r w:rsidDel="00000000" w:rsidR="00000000" w:rsidRPr="00000000">
              <w:rPr>
                <w:rtl w:val="0"/>
              </w:rPr>
            </w:r>
          </w:p>
          <w:p w:rsidR="00000000" w:rsidDel="00000000" w:rsidP="00000000" w:rsidRDefault="00000000" w:rsidRPr="00000000" w14:paraId="0000017C">
            <w:pPr>
              <w:rPr>
                <w:sz w:val="18"/>
                <w:szCs w:val="18"/>
              </w:rPr>
            </w:pPr>
            <w:r w:rsidDel="00000000" w:rsidR="00000000" w:rsidRPr="00000000">
              <w:rPr>
                <w:rtl w:val="0"/>
              </w:rPr>
            </w:r>
          </w:p>
          <w:p w:rsidR="00000000" w:rsidDel="00000000" w:rsidP="00000000" w:rsidRDefault="00000000" w:rsidRPr="00000000" w14:paraId="0000017D">
            <w:pPr>
              <w:rPr>
                <w:sz w:val="18"/>
                <w:szCs w:val="18"/>
              </w:rPr>
            </w:pPr>
            <w:r w:rsidDel="00000000" w:rsidR="00000000" w:rsidRPr="00000000">
              <w:rPr>
                <w:rtl w:val="0"/>
              </w:rPr>
            </w:r>
          </w:p>
        </w:tc>
      </w:tr>
    </w:tbl>
    <w:bookmarkStart w:colFirst="0" w:colLast="0" w:name="bookmark=id.30j0zll" w:id="2"/>
    <w:bookmarkEnd w:id="2"/>
    <w:p w:rsidR="00000000" w:rsidDel="00000000" w:rsidP="00000000" w:rsidRDefault="00000000" w:rsidRPr="00000000" w14:paraId="00000180">
      <w:pPr>
        <w:spacing w:after="160" w:line="259" w:lineRule="auto"/>
        <w:jc w:val="left"/>
        <w:rPr>
          <w:b w:val="1"/>
          <w:sz w:val="22"/>
          <w:szCs w:val="22"/>
        </w:rPr>
      </w:pPr>
      <w:r w:rsidDel="00000000" w:rsidR="00000000" w:rsidRPr="00000000">
        <w:rPr>
          <w:b w:val="1"/>
          <w:sz w:val="22"/>
          <w:szCs w:val="22"/>
          <w:rtl w:val="0"/>
        </w:rPr>
        <w:t xml:space="preserve">Tabla 2. </w:t>
      </w:r>
      <w:r w:rsidDel="00000000" w:rsidR="00000000" w:rsidRPr="00000000">
        <w:rPr>
          <w:sz w:val="22"/>
          <w:szCs w:val="22"/>
          <w:rtl w:val="0"/>
        </w:rPr>
        <w:t xml:space="preserve">Análisis descriptivo de los CVP. </w:t>
      </w:r>
      <w:r w:rsidDel="00000000" w:rsidR="00000000" w:rsidRPr="00000000">
        <w:rPr>
          <w:rtl w:val="0"/>
        </w:rPr>
      </w:r>
    </w:p>
    <w:tbl>
      <w:tblPr>
        <w:tblStyle w:val="Table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rPr>
          <w:cantSplit w:val="0"/>
          <w:tblHeader w:val="1"/>
        </w:trPr>
        <w:tc>
          <w:tcPr>
            <w:tcBorders>
              <w:top w:color="000000" w:space="0" w:sz="0" w:val="nil"/>
              <w:left w:color="000000" w:space="0" w:sz="0" w:val="nil"/>
              <w:right w:color="000000" w:space="0" w:sz="0" w:val="nil"/>
            </w:tcBorders>
          </w:tcPr>
          <w:p w:rsidR="00000000" w:rsidDel="00000000" w:rsidP="00000000" w:rsidRDefault="00000000" w:rsidRPr="00000000" w14:paraId="00000181">
            <w:pPr>
              <w:rPr>
                <w:sz w:val="18"/>
                <w:szCs w:val="18"/>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82">
            <w:pPr>
              <w:jc w:val="right"/>
              <w:rPr>
                <w:sz w:val="18"/>
                <w:szCs w:val="18"/>
              </w:rPr>
            </w:pPr>
            <w:r w:rsidDel="00000000" w:rsidR="00000000" w:rsidRPr="00000000">
              <w:rPr>
                <w:sz w:val="18"/>
                <w:szCs w:val="18"/>
                <w:rtl w:val="0"/>
              </w:rPr>
              <w:t xml:space="preserve">N=174</w:t>
            </w:r>
          </w:p>
        </w:tc>
        <w:tc>
          <w:tcPr>
            <w:tcBorders>
              <w:top w:color="000000" w:space="0" w:sz="0" w:val="nil"/>
              <w:left w:color="000000" w:space="0" w:sz="0" w:val="nil"/>
              <w:right w:color="000000" w:space="0" w:sz="0" w:val="nil"/>
            </w:tcBorders>
          </w:tcPr>
          <w:p w:rsidR="00000000" w:rsidDel="00000000" w:rsidP="00000000" w:rsidRDefault="00000000" w:rsidRPr="00000000" w14:paraId="00000183">
            <w:pPr>
              <w:jc w:val="right"/>
              <w:rPr>
                <w:sz w:val="18"/>
                <w:szCs w:val="18"/>
              </w:rPr>
            </w:pPr>
            <w:r w:rsidDel="00000000" w:rsidR="00000000" w:rsidRPr="00000000">
              <w:rPr>
                <w:sz w:val="18"/>
                <w:szCs w:val="18"/>
                <w:rtl w:val="0"/>
              </w:rPr>
              <w:t xml:space="preserve">N/ (%)</w:t>
            </w:r>
          </w:p>
        </w:tc>
      </w:tr>
      <w:tr>
        <w:trPr>
          <w:cantSplit w:val="0"/>
          <w:tblHeader w:val="1"/>
        </w:trPr>
        <w:tc>
          <w:tcPr>
            <w:gridSpan w:val="3"/>
            <w:tcBorders>
              <w:top w:color="000000" w:space="0" w:sz="4" w:val="single"/>
              <w:bottom w:color="000000" w:space="0" w:sz="4" w:val="single"/>
            </w:tcBorders>
            <w:shd w:fill="a6a6a6" w:val="clear"/>
          </w:tcPr>
          <w:p w:rsidR="00000000" w:rsidDel="00000000" w:rsidP="00000000" w:rsidRDefault="00000000" w:rsidRPr="00000000" w14:paraId="00000184">
            <w:pPr>
              <w:jc w:val="center"/>
              <w:rPr>
                <w:b w:val="1"/>
                <w:sz w:val="18"/>
                <w:szCs w:val="18"/>
              </w:rPr>
            </w:pPr>
            <w:r w:rsidDel="00000000" w:rsidR="00000000" w:rsidRPr="00000000">
              <w:rPr>
                <w:b w:val="1"/>
                <w:sz w:val="18"/>
                <w:szCs w:val="18"/>
                <w:rtl w:val="0"/>
              </w:rPr>
              <w:t xml:space="preserve">Datos catéter</w:t>
            </w:r>
          </w:p>
        </w:tc>
      </w:tr>
      <w:tr>
        <w:trPr>
          <w:cantSplit w:val="0"/>
          <w:tblHeader w:val="1"/>
        </w:trPr>
        <w:tc>
          <w:tcPr>
            <w:tcBorders>
              <w:bottom w:color="000000" w:space="0" w:sz="4" w:val="single"/>
              <w:right w:color="000000" w:space="0" w:sz="0" w:val="nil"/>
            </w:tcBorders>
            <w:shd w:fill="d9d9d9" w:val="clear"/>
          </w:tcPr>
          <w:p w:rsidR="00000000" w:rsidDel="00000000" w:rsidP="00000000" w:rsidRDefault="00000000" w:rsidRPr="00000000" w14:paraId="00000187">
            <w:pPr>
              <w:rPr>
                <w:sz w:val="18"/>
                <w:szCs w:val="18"/>
              </w:rPr>
            </w:pPr>
            <w:r w:rsidDel="00000000" w:rsidR="00000000" w:rsidRPr="00000000">
              <w:rPr>
                <w:sz w:val="18"/>
                <w:szCs w:val="18"/>
                <w:rtl w:val="0"/>
              </w:rPr>
              <w:t xml:space="preserve">Localización</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88">
            <w:pPr>
              <w:jc w:val="center"/>
              <w:rPr>
                <w:sz w:val="18"/>
                <w:szCs w:val="18"/>
              </w:rPr>
            </w:pPr>
            <w:r w:rsidDel="00000000" w:rsidR="00000000" w:rsidRPr="00000000">
              <w:rPr>
                <w:rtl w:val="0"/>
              </w:rPr>
            </w:r>
          </w:p>
        </w:tc>
        <w:tc>
          <w:tcPr>
            <w:tcBorders>
              <w:left w:color="000000" w:space="0" w:sz="0" w:val="nil"/>
              <w:bottom w:color="000000" w:space="0" w:sz="4" w:val="single"/>
            </w:tcBorders>
            <w:shd w:fill="d9d9d9" w:val="clear"/>
          </w:tcPr>
          <w:p w:rsidR="00000000" w:rsidDel="00000000" w:rsidP="00000000" w:rsidRDefault="00000000" w:rsidRPr="00000000" w14:paraId="00000189">
            <w:pPr>
              <w:jc w:val="right"/>
              <w:rPr>
                <w:sz w:val="18"/>
                <w:szCs w:val="18"/>
              </w:rPr>
            </w:pPr>
            <w:r w:rsidDel="00000000" w:rsidR="00000000" w:rsidRPr="00000000">
              <w:rPr>
                <w:rtl w:val="0"/>
              </w:rPr>
            </w:r>
          </w:p>
        </w:tc>
      </w:tr>
      <w:tr>
        <w:trPr>
          <w:cantSplit w:val="0"/>
          <w:tblHeader w:val="1"/>
        </w:trPr>
        <w:tc>
          <w:tcPr>
            <w:tcBorders>
              <w:left w:color="000000" w:space="0" w:sz="0" w:val="nil"/>
              <w:bottom w:color="000000" w:space="0" w:sz="0" w:val="nil"/>
              <w:right w:color="000000" w:space="0" w:sz="0" w:val="nil"/>
            </w:tcBorders>
          </w:tcPr>
          <w:p w:rsidR="00000000" w:rsidDel="00000000" w:rsidP="00000000" w:rsidRDefault="00000000" w:rsidRPr="00000000" w14:paraId="0000018A">
            <w:pPr>
              <w:rPr>
                <w:sz w:val="18"/>
                <w:szCs w:val="18"/>
              </w:rPr>
            </w:pPr>
            <w:r w:rsidDel="00000000" w:rsidR="00000000" w:rsidRPr="00000000">
              <w:rPr>
                <w:sz w:val="18"/>
                <w:szCs w:val="18"/>
                <w:rtl w:val="0"/>
              </w:rPr>
              <w:t xml:space="preserve">Antebrazo derecho</w:t>
            </w:r>
          </w:p>
        </w:tc>
        <w:tc>
          <w:tcPr>
            <w:tcBorders>
              <w:left w:color="000000" w:space="0" w:sz="0" w:val="nil"/>
              <w:bottom w:color="000000" w:space="0" w:sz="0" w:val="nil"/>
              <w:right w:color="000000" w:space="0" w:sz="0" w:val="nil"/>
            </w:tcBorders>
          </w:tcPr>
          <w:p w:rsidR="00000000" w:rsidDel="00000000" w:rsidP="00000000" w:rsidRDefault="00000000" w:rsidRPr="00000000" w14:paraId="0000018B">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8C">
            <w:pPr>
              <w:jc w:val="right"/>
              <w:rPr>
                <w:sz w:val="18"/>
                <w:szCs w:val="18"/>
              </w:rPr>
            </w:pPr>
            <w:r w:rsidDel="00000000" w:rsidR="00000000" w:rsidRPr="00000000">
              <w:rPr>
                <w:sz w:val="18"/>
                <w:szCs w:val="18"/>
                <w:rtl w:val="0"/>
              </w:rPr>
              <w:t xml:space="preserve">8 (4%)</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rPr>
                <w:sz w:val="18"/>
                <w:szCs w:val="18"/>
              </w:rPr>
            </w:pPr>
            <w:r w:rsidDel="00000000" w:rsidR="00000000" w:rsidRPr="00000000">
              <w:rPr>
                <w:sz w:val="18"/>
                <w:szCs w:val="18"/>
                <w:rtl w:val="0"/>
              </w:rPr>
              <w:t xml:space="preserve">Antebrazo izquierdo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jc w:val="right"/>
              <w:rPr>
                <w:sz w:val="18"/>
                <w:szCs w:val="18"/>
              </w:rPr>
            </w:pPr>
            <w:r w:rsidDel="00000000" w:rsidR="00000000" w:rsidRPr="00000000">
              <w:rPr>
                <w:sz w:val="18"/>
                <w:szCs w:val="18"/>
                <w:rtl w:val="0"/>
              </w:rPr>
              <w:t xml:space="preserve">22 (13%)</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0">
            <w:pPr>
              <w:rPr>
                <w:sz w:val="18"/>
                <w:szCs w:val="18"/>
              </w:rPr>
            </w:pPr>
            <w:r w:rsidDel="00000000" w:rsidR="00000000" w:rsidRPr="00000000">
              <w:rPr>
                <w:sz w:val="18"/>
                <w:szCs w:val="18"/>
                <w:rtl w:val="0"/>
              </w:rPr>
              <w:t xml:space="preserve">Flexura derecha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2">
            <w:pPr>
              <w:jc w:val="right"/>
              <w:rPr>
                <w:sz w:val="18"/>
                <w:szCs w:val="18"/>
              </w:rPr>
            </w:pPr>
            <w:r w:rsidDel="00000000" w:rsidR="00000000" w:rsidRPr="00000000">
              <w:rPr>
                <w:sz w:val="18"/>
                <w:szCs w:val="18"/>
                <w:rtl w:val="0"/>
              </w:rPr>
              <w:t xml:space="preserve">2 (2%)</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3">
            <w:pPr>
              <w:rPr>
                <w:sz w:val="18"/>
                <w:szCs w:val="18"/>
              </w:rPr>
            </w:pPr>
            <w:r w:rsidDel="00000000" w:rsidR="00000000" w:rsidRPr="00000000">
              <w:rPr>
                <w:sz w:val="18"/>
                <w:szCs w:val="18"/>
                <w:rtl w:val="0"/>
              </w:rPr>
              <w:t xml:space="preserve">Flexura izquierda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jc w:val="right"/>
              <w:rPr>
                <w:sz w:val="18"/>
                <w:szCs w:val="18"/>
              </w:rPr>
            </w:pPr>
            <w:r w:rsidDel="00000000" w:rsidR="00000000" w:rsidRPr="00000000">
              <w:rPr>
                <w:sz w:val="18"/>
                <w:szCs w:val="18"/>
                <w:rtl w:val="0"/>
              </w:rPr>
              <w:t xml:space="preserve">1(1%)</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6">
            <w:pPr>
              <w:rPr>
                <w:sz w:val="18"/>
                <w:szCs w:val="18"/>
              </w:rPr>
            </w:pPr>
            <w:r w:rsidDel="00000000" w:rsidR="00000000" w:rsidRPr="00000000">
              <w:rPr>
                <w:sz w:val="18"/>
                <w:szCs w:val="18"/>
                <w:rtl w:val="0"/>
              </w:rPr>
              <w:t xml:space="preserve">Mano derecha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8">
            <w:pPr>
              <w:jc w:val="right"/>
              <w:rPr>
                <w:sz w:val="18"/>
                <w:szCs w:val="18"/>
              </w:rPr>
            </w:pPr>
            <w:r w:rsidDel="00000000" w:rsidR="00000000" w:rsidRPr="00000000">
              <w:rPr>
                <w:sz w:val="18"/>
                <w:szCs w:val="18"/>
                <w:rtl w:val="0"/>
              </w:rPr>
              <w:t xml:space="preserve">17 (9%)</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rPr>
                <w:sz w:val="18"/>
                <w:szCs w:val="18"/>
              </w:rPr>
            </w:pPr>
            <w:r w:rsidDel="00000000" w:rsidR="00000000" w:rsidRPr="00000000">
              <w:rPr>
                <w:sz w:val="18"/>
                <w:szCs w:val="18"/>
                <w:rtl w:val="0"/>
              </w:rPr>
              <w:t xml:space="preserve">Mano izquierda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B">
            <w:pPr>
              <w:jc w:val="right"/>
              <w:rPr>
                <w:sz w:val="18"/>
                <w:szCs w:val="18"/>
              </w:rPr>
            </w:pPr>
            <w:r w:rsidDel="00000000" w:rsidR="00000000" w:rsidRPr="00000000">
              <w:rPr>
                <w:sz w:val="18"/>
                <w:szCs w:val="18"/>
                <w:rtl w:val="0"/>
              </w:rPr>
              <w:t xml:space="preserve">25 (14%)</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rPr>
                <w:sz w:val="18"/>
                <w:szCs w:val="18"/>
              </w:rPr>
            </w:pPr>
            <w:r w:rsidDel="00000000" w:rsidR="00000000" w:rsidRPr="00000000">
              <w:rPr>
                <w:sz w:val="18"/>
                <w:szCs w:val="18"/>
                <w:rtl w:val="0"/>
              </w:rPr>
              <w:t xml:space="preserve">Miembro superior derecho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E">
            <w:pPr>
              <w:jc w:val="right"/>
              <w:rPr>
                <w:sz w:val="18"/>
                <w:szCs w:val="18"/>
              </w:rPr>
            </w:pPr>
            <w:r w:rsidDel="00000000" w:rsidR="00000000" w:rsidRPr="00000000">
              <w:rPr>
                <w:sz w:val="18"/>
                <w:szCs w:val="18"/>
                <w:rtl w:val="0"/>
              </w:rPr>
              <w:t xml:space="preserve">25 (14%)</w:t>
            </w:r>
          </w:p>
        </w:tc>
      </w:tr>
      <w:tr>
        <w:trPr>
          <w:cantSplit w:val="0"/>
          <w:tblHeader w:val="1"/>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F">
            <w:pPr>
              <w:rPr>
                <w:sz w:val="18"/>
                <w:szCs w:val="18"/>
              </w:rPr>
            </w:pPr>
            <w:r w:rsidDel="00000000" w:rsidR="00000000" w:rsidRPr="00000000">
              <w:rPr>
                <w:sz w:val="18"/>
                <w:szCs w:val="18"/>
                <w:rtl w:val="0"/>
              </w:rPr>
              <w:t xml:space="preserve">Miembro superior izquierdo</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0">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1">
            <w:pPr>
              <w:jc w:val="right"/>
              <w:rPr>
                <w:sz w:val="18"/>
                <w:szCs w:val="18"/>
              </w:rPr>
            </w:pPr>
            <w:r w:rsidDel="00000000" w:rsidR="00000000" w:rsidRPr="00000000">
              <w:rPr>
                <w:sz w:val="18"/>
                <w:szCs w:val="18"/>
                <w:rtl w:val="0"/>
              </w:rPr>
              <w:t xml:space="preserve">74 (43%)</w:t>
            </w:r>
          </w:p>
        </w:tc>
      </w:tr>
      <w:tr>
        <w:trPr>
          <w:cantSplit w:val="0"/>
          <w:tblHeader w:val="1"/>
        </w:trPr>
        <w:tc>
          <w:tcPr>
            <w:tcBorders>
              <w:bottom w:color="000000" w:space="0" w:sz="4" w:val="single"/>
              <w:right w:color="000000" w:space="0" w:sz="0" w:val="nil"/>
            </w:tcBorders>
            <w:shd w:fill="d9d9d9" w:val="clear"/>
          </w:tcPr>
          <w:p w:rsidR="00000000" w:rsidDel="00000000" w:rsidP="00000000" w:rsidRDefault="00000000" w:rsidRPr="00000000" w14:paraId="000001A2">
            <w:pPr>
              <w:rPr>
                <w:sz w:val="18"/>
                <w:szCs w:val="18"/>
              </w:rPr>
            </w:pPr>
            <w:r w:rsidDel="00000000" w:rsidR="00000000" w:rsidRPr="00000000">
              <w:rPr>
                <w:sz w:val="18"/>
                <w:szCs w:val="18"/>
                <w:rtl w:val="0"/>
              </w:rPr>
              <w:t xml:space="preserve">Lateralidad</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A3">
            <w:pPr>
              <w:jc w:val="center"/>
              <w:rPr>
                <w:sz w:val="18"/>
                <w:szCs w:val="18"/>
              </w:rPr>
            </w:pPr>
            <w:r w:rsidDel="00000000" w:rsidR="00000000" w:rsidRPr="00000000">
              <w:rPr>
                <w:rtl w:val="0"/>
              </w:rPr>
            </w:r>
          </w:p>
        </w:tc>
        <w:tc>
          <w:tcPr>
            <w:tcBorders>
              <w:left w:color="000000" w:space="0" w:sz="0" w:val="nil"/>
              <w:bottom w:color="000000" w:space="0" w:sz="4" w:val="single"/>
            </w:tcBorders>
            <w:shd w:fill="d9d9d9" w:val="clear"/>
          </w:tcPr>
          <w:p w:rsidR="00000000" w:rsidDel="00000000" w:rsidP="00000000" w:rsidRDefault="00000000" w:rsidRPr="00000000" w14:paraId="000001A4">
            <w:pPr>
              <w:jc w:val="right"/>
              <w:rPr>
                <w:sz w:val="18"/>
                <w:szCs w:val="18"/>
              </w:rPr>
            </w:pPr>
            <w:r w:rsidDel="00000000" w:rsidR="00000000" w:rsidRPr="00000000">
              <w:rPr>
                <w:rtl w:val="0"/>
              </w:rPr>
            </w:r>
          </w:p>
        </w:tc>
      </w:tr>
      <w:tr>
        <w:trPr>
          <w:cantSplit w:val="0"/>
          <w:tblHeader w:val="1"/>
        </w:trPr>
        <w:tc>
          <w:tcPr>
            <w:tcBorders>
              <w:left w:color="000000" w:space="0" w:sz="0" w:val="nil"/>
              <w:bottom w:color="000000" w:space="0" w:sz="0" w:val="nil"/>
              <w:right w:color="000000" w:space="0" w:sz="0" w:val="nil"/>
            </w:tcBorders>
          </w:tcPr>
          <w:p w:rsidR="00000000" w:rsidDel="00000000" w:rsidP="00000000" w:rsidRDefault="00000000" w:rsidRPr="00000000" w14:paraId="000001A5">
            <w:pPr>
              <w:rPr>
                <w:sz w:val="18"/>
                <w:szCs w:val="18"/>
              </w:rPr>
            </w:pPr>
            <w:r w:rsidDel="00000000" w:rsidR="00000000" w:rsidRPr="00000000">
              <w:rPr>
                <w:sz w:val="18"/>
                <w:szCs w:val="18"/>
                <w:rtl w:val="0"/>
              </w:rPr>
              <w:t xml:space="preserve">Derecho</w:t>
            </w:r>
          </w:p>
        </w:tc>
        <w:tc>
          <w:tcPr>
            <w:tcBorders>
              <w:left w:color="000000" w:space="0" w:sz="0" w:val="nil"/>
              <w:bottom w:color="000000" w:space="0" w:sz="0" w:val="nil"/>
              <w:right w:color="000000" w:space="0" w:sz="0" w:val="nil"/>
            </w:tcBorders>
          </w:tcPr>
          <w:p w:rsidR="00000000" w:rsidDel="00000000" w:rsidP="00000000" w:rsidRDefault="00000000" w:rsidRPr="00000000" w14:paraId="000001A6">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A7">
            <w:pPr>
              <w:jc w:val="right"/>
              <w:rPr>
                <w:sz w:val="18"/>
                <w:szCs w:val="18"/>
              </w:rPr>
            </w:pPr>
            <w:r w:rsidDel="00000000" w:rsidR="00000000" w:rsidRPr="00000000">
              <w:rPr>
                <w:sz w:val="18"/>
                <w:szCs w:val="18"/>
                <w:rtl w:val="0"/>
              </w:rPr>
              <w:t xml:space="preserve">52 (30%)</w:t>
            </w:r>
          </w:p>
        </w:tc>
      </w:tr>
      <w:tr>
        <w:trPr>
          <w:cantSplit w:val="0"/>
          <w:tblHeader w:val="1"/>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8">
            <w:pPr>
              <w:rPr>
                <w:sz w:val="18"/>
                <w:szCs w:val="18"/>
              </w:rPr>
            </w:pPr>
            <w:r w:rsidDel="00000000" w:rsidR="00000000" w:rsidRPr="00000000">
              <w:rPr>
                <w:sz w:val="18"/>
                <w:szCs w:val="18"/>
                <w:rtl w:val="0"/>
              </w:rPr>
              <w:t xml:space="preserve">Izquierdo</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9">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A">
            <w:pPr>
              <w:jc w:val="right"/>
              <w:rPr>
                <w:sz w:val="18"/>
                <w:szCs w:val="18"/>
              </w:rPr>
            </w:pPr>
            <w:r w:rsidDel="00000000" w:rsidR="00000000" w:rsidRPr="00000000">
              <w:rPr>
                <w:sz w:val="18"/>
                <w:szCs w:val="18"/>
                <w:rtl w:val="0"/>
              </w:rPr>
              <w:t xml:space="preserve">122 (70%)</w:t>
            </w:r>
          </w:p>
        </w:tc>
      </w:tr>
      <w:tr>
        <w:trPr>
          <w:cantSplit w:val="0"/>
          <w:tblHeader w:val="1"/>
        </w:trPr>
        <w:tc>
          <w:tcPr>
            <w:tcBorders>
              <w:bottom w:color="000000" w:space="0" w:sz="4" w:val="single"/>
              <w:right w:color="000000" w:space="0" w:sz="0" w:val="nil"/>
            </w:tcBorders>
            <w:shd w:fill="d9d9d9" w:val="clear"/>
          </w:tcPr>
          <w:p w:rsidR="00000000" w:rsidDel="00000000" w:rsidP="00000000" w:rsidRDefault="00000000" w:rsidRPr="00000000" w14:paraId="000001AB">
            <w:pPr>
              <w:rPr>
                <w:sz w:val="18"/>
                <w:szCs w:val="18"/>
              </w:rPr>
            </w:pPr>
            <w:r w:rsidDel="00000000" w:rsidR="00000000" w:rsidRPr="00000000">
              <w:rPr>
                <w:sz w:val="18"/>
                <w:szCs w:val="18"/>
                <w:rtl w:val="0"/>
              </w:rPr>
              <w:t xml:space="preserve">Calibre catéter</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AC">
            <w:pPr>
              <w:jc w:val="center"/>
              <w:rPr>
                <w:sz w:val="18"/>
                <w:szCs w:val="18"/>
              </w:rPr>
            </w:pPr>
            <w:r w:rsidDel="00000000" w:rsidR="00000000" w:rsidRPr="00000000">
              <w:rPr>
                <w:rtl w:val="0"/>
              </w:rPr>
            </w:r>
          </w:p>
        </w:tc>
        <w:tc>
          <w:tcPr>
            <w:tcBorders>
              <w:left w:color="000000" w:space="0" w:sz="0" w:val="nil"/>
              <w:bottom w:color="000000" w:space="0" w:sz="4" w:val="single"/>
            </w:tcBorders>
            <w:shd w:fill="d9d9d9" w:val="clear"/>
          </w:tcPr>
          <w:p w:rsidR="00000000" w:rsidDel="00000000" w:rsidP="00000000" w:rsidRDefault="00000000" w:rsidRPr="00000000" w14:paraId="000001AD">
            <w:pPr>
              <w:jc w:val="right"/>
              <w:rPr>
                <w:sz w:val="18"/>
                <w:szCs w:val="18"/>
              </w:rPr>
            </w:pPr>
            <w:r w:rsidDel="00000000" w:rsidR="00000000" w:rsidRPr="00000000">
              <w:rPr>
                <w:rtl w:val="0"/>
              </w:rPr>
            </w:r>
          </w:p>
        </w:tc>
      </w:tr>
      <w:tr>
        <w:trPr>
          <w:cantSplit w:val="0"/>
          <w:tblHeader w:val="1"/>
        </w:trPr>
        <w:tc>
          <w:tcPr>
            <w:tcBorders>
              <w:left w:color="000000" w:space="0" w:sz="0" w:val="nil"/>
              <w:bottom w:color="000000" w:space="0" w:sz="0" w:val="nil"/>
              <w:right w:color="000000" w:space="0" w:sz="0" w:val="nil"/>
            </w:tcBorders>
          </w:tcPr>
          <w:p w:rsidR="00000000" w:rsidDel="00000000" w:rsidP="00000000" w:rsidRDefault="00000000" w:rsidRPr="00000000" w14:paraId="000001AE">
            <w:pPr>
              <w:rPr>
                <w:sz w:val="18"/>
                <w:szCs w:val="18"/>
              </w:rPr>
            </w:pPr>
            <w:r w:rsidDel="00000000" w:rsidR="00000000" w:rsidRPr="00000000">
              <w:rPr>
                <w:sz w:val="18"/>
                <w:szCs w:val="18"/>
                <w:rtl w:val="0"/>
              </w:rPr>
              <w:t xml:space="preserve">G14</w:t>
            </w:r>
          </w:p>
        </w:tc>
        <w:tc>
          <w:tcPr>
            <w:tcBorders>
              <w:left w:color="000000" w:space="0" w:sz="0" w:val="nil"/>
              <w:bottom w:color="000000" w:space="0" w:sz="0" w:val="nil"/>
              <w:right w:color="000000" w:space="0" w:sz="0" w:val="nil"/>
            </w:tcBorders>
          </w:tcPr>
          <w:p w:rsidR="00000000" w:rsidDel="00000000" w:rsidP="00000000" w:rsidRDefault="00000000" w:rsidRPr="00000000" w14:paraId="000001AF">
            <w:pPr>
              <w:rPr>
                <w:sz w:val="18"/>
                <w:szCs w:val="18"/>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B0">
            <w:pPr>
              <w:jc w:val="right"/>
              <w:rPr>
                <w:sz w:val="18"/>
                <w:szCs w:val="18"/>
              </w:rPr>
            </w:pPr>
            <w:r w:rsidDel="00000000" w:rsidR="00000000" w:rsidRPr="00000000">
              <w:rPr>
                <w:sz w:val="18"/>
                <w:szCs w:val="18"/>
                <w:rtl w:val="0"/>
              </w:rPr>
              <w:t xml:space="preserve">1 (1%)</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1">
            <w:pPr>
              <w:rPr>
                <w:sz w:val="18"/>
                <w:szCs w:val="18"/>
              </w:rPr>
            </w:pPr>
            <w:r w:rsidDel="00000000" w:rsidR="00000000" w:rsidRPr="00000000">
              <w:rPr>
                <w:sz w:val="18"/>
                <w:szCs w:val="18"/>
                <w:rtl w:val="0"/>
              </w:rPr>
              <w:t xml:space="preserve">G16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3">
            <w:pPr>
              <w:jc w:val="right"/>
              <w:rPr>
                <w:sz w:val="18"/>
                <w:szCs w:val="18"/>
              </w:rPr>
            </w:pPr>
            <w:r w:rsidDel="00000000" w:rsidR="00000000" w:rsidRPr="00000000">
              <w:rPr>
                <w:sz w:val="18"/>
                <w:szCs w:val="18"/>
                <w:rtl w:val="0"/>
              </w:rPr>
              <w:t xml:space="preserve">3 (2%)</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rPr>
                <w:sz w:val="18"/>
                <w:szCs w:val="18"/>
              </w:rPr>
            </w:pPr>
            <w:r w:rsidDel="00000000" w:rsidR="00000000" w:rsidRPr="00000000">
              <w:rPr>
                <w:sz w:val="18"/>
                <w:szCs w:val="18"/>
                <w:rtl w:val="0"/>
              </w:rPr>
              <w:t xml:space="preserve">G18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6">
            <w:pPr>
              <w:jc w:val="right"/>
              <w:rPr>
                <w:sz w:val="18"/>
                <w:szCs w:val="18"/>
              </w:rPr>
            </w:pPr>
            <w:r w:rsidDel="00000000" w:rsidR="00000000" w:rsidRPr="00000000">
              <w:rPr>
                <w:sz w:val="18"/>
                <w:szCs w:val="18"/>
                <w:rtl w:val="0"/>
              </w:rPr>
              <w:t xml:space="preserve">125 (71%)</w:t>
            </w:r>
          </w:p>
        </w:tc>
      </w:tr>
      <w:tr>
        <w:trPr>
          <w:cantSplit w:val="0"/>
          <w:tblHeader w:val="1"/>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7">
            <w:pPr>
              <w:rPr>
                <w:sz w:val="18"/>
                <w:szCs w:val="18"/>
              </w:rPr>
            </w:pPr>
            <w:r w:rsidDel="00000000" w:rsidR="00000000" w:rsidRPr="00000000">
              <w:rPr>
                <w:sz w:val="18"/>
                <w:szCs w:val="18"/>
                <w:rtl w:val="0"/>
              </w:rPr>
              <w:t xml:space="preserve">G20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8">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9">
            <w:pPr>
              <w:jc w:val="right"/>
              <w:rPr>
                <w:sz w:val="18"/>
                <w:szCs w:val="18"/>
              </w:rPr>
            </w:pPr>
            <w:r w:rsidDel="00000000" w:rsidR="00000000" w:rsidRPr="00000000">
              <w:rPr>
                <w:sz w:val="18"/>
                <w:szCs w:val="18"/>
                <w:rtl w:val="0"/>
              </w:rPr>
              <w:t xml:space="preserve">45 (26%)</w:t>
            </w:r>
          </w:p>
        </w:tc>
      </w:tr>
      <w:tr>
        <w:trPr>
          <w:cantSplit w:val="0"/>
          <w:tblHeader w:val="1"/>
        </w:trPr>
        <w:tc>
          <w:tcPr>
            <w:tcBorders>
              <w:bottom w:color="000000" w:space="0" w:sz="4" w:val="single"/>
              <w:right w:color="000000" w:space="0" w:sz="0" w:val="nil"/>
            </w:tcBorders>
            <w:shd w:fill="d9d9d9" w:val="clear"/>
          </w:tcPr>
          <w:p w:rsidR="00000000" w:rsidDel="00000000" w:rsidP="00000000" w:rsidRDefault="00000000" w:rsidRPr="00000000" w14:paraId="000001BA">
            <w:pPr>
              <w:rPr>
                <w:sz w:val="18"/>
                <w:szCs w:val="18"/>
              </w:rPr>
            </w:pPr>
            <w:r w:rsidDel="00000000" w:rsidR="00000000" w:rsidRPr="00000000">
              <w:rPr>
                <w:sz w:val="18"/>
                <w:szCs w:val="18"/>
                <w:rtl w:val="0"/>
              </w:rPr>
              <w:t xml:space="preserve">Motivo retirada catéter</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BB">
            <w:pPr>
              <w:jc w:val="right"/>
              <w:rPr>
                <w:sz w:val="18"/>
                <w:szCs w:val="18"/>
              </w:rPr>
            </w:pPr>
            <w:r w:rsidDel="00000000" w:rsidR="00000000" w:rsidRPr="00000000">
              <w:rPr>
                <w:sz w:val="18"/>
                <w:szCs w:val="18"/>
                <w:rtl w:val="0"/>
              </w:rPr>
              <w:t xml:space="preserve">N=172</w:t>
            </w:r>
          </w:p>
        </w:tc>
        <w:tc>
          <w:tcPr>
            <w:tcBorders>
              <w:left w:color="000000" w:space="0" w:sz="0" w:val="nil"/>
              <w:bottom w:color="000000" w:space="0" w:sz="4" w:val="single"/>
            </w:tcBorders>
            <w:shd w:fill="d9d9d9" w:val="clear"/>
          </w:tcPr>
          <w:p w:rsidR="00000000" w:rsidDel="00000000" w:rsidP="00000000" w:rsidRDefault="00000000" w:rsidRPr="00000000" w14:paraId="000001BC">
            <w:pPr>
              <w:jc w:val="right"/>
              <w:rPr>
                <w:sz w:val="18"/>
                <w:szCs w:val="18"/>
              </w:rPr>
            </w:pPr>
            <w:r w:rsidDel="00000000" w:rsidR="00000000" w:rsidRPr="00000000">
              <w:rPr>
                <w:rtl w:val="0"/>
              </w:rPr>
            </w:r>
          </w:p>
        </w:tc>
      </w:tr>
      <w:tr>
        <w:trPr>
          <w:cantSplit w:val="0"/>
          <w:tblHeader w:val="1"/>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D">
            <w:pPr>
              <w:rPr>
                <w:sz w:val="18"/>
                <w:szCs w:val="18"/>
              </w:rPr>
            </w:pPr>
            <w:r w:rsidDel="00000000" w:rsidR="00000000" w:rsidRPr="00000000">
              <w:rPr>
                <w:sz w:val="18"/>
                <w:szCs w:val="18"/>
                <w:rtl w:val="0"/>
              </w:rPr>
              <w:t xml:space="preserve">Alta</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E">
            <w:pPr>
              <w:rPr>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F">
            <w:pPr>
              <w:jc w:val="right"/>
              <w:rPr>
                <w:sz w:val="18"/>
                <w:szCs w:val="18"/>
              </w:rPr>
            </w:pPr>
            <w:r w:rsidDel="00000000" w:rsidR="00000000" w:rsidRPr="00000000">
              <w:rPr>
                <w:sz w:val="18"/>
                <w:szCs w:val="18"/>
                <w:rtl w:val="0"/>
              </w:rPr>
              <w:t xml:space="preserve">143 (82%)</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0">
            <w:pPr>
              <w:rPr>
                <w:sz w:val="18"/>
                <w:szCs w:val="18"/>
              </w:rPr>
            </w:pPr>
            <w:r w:rsidDel="00000000" w:rsidR="00000000" w:rsidRPr="00000000">
              <w:rPr>
                <w:sz w:val="18"/>
                <w:szCs w:val="18"/>
                <w:rtl w:val="0"/>
              </w:rPr>
              <w:t xml:space="preserve">Fin de tratamiento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jc w:val="right"/>
              <w:rPr>
                <w:sz w:val="18"/>
                <w:szCs w:val="18"/>
              </w:rPr>
            </w:pPr>
            <w:r w:rsidDel="00000000" w:rsidR="00000000" w:rsidRPr="00000000">
              <w:rPr>
                <w:sz w:val="18"/>
                <w:szCs w:val="18"/>
                <w:rtl w:val="0"/>
              </w:rPr>
              <w:t xml:space="preserve">5 (3%)</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3">
            <w:pPr>
              <w:rPr>
                <w:sz w:val="18"/>
                <w:szCs w:val="18"/>
              </w:rPr>
            </w:pPr>
            <w:r w:rsidDel="00000000" w:rsidR="00000000" w:rsidRPr="00000000">
              <w:rPr>
                <w:sz w:val="18"/>
                <w:szCs w:val="18"/>
                <w:rtl w:val="0"/>
              </w:rPr>
              <w:t xml:space="preserve">Extravasación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jc w:val="right"/>
              <w:rPr>
                <w:sz w:val="18"/>
                <w:szCs w:val="18"/>
              </w:rPr>
            </w:pPr>
            <w:r w:rsidDel="00000000" w:rsidR="00000000" w:rsidRPr="00000000">
              <w:rPr>
                <w:sz w:val="18"/>
                <w:szCs w:val="18"/>
                <w:rtl w:val="0"/>
              </w:rPr>
              <w:t xml:space="preserve">6 (4%)</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rPr>
                <w:sz w:val="18"/>
                <w:szCs w:val="18"/>
              </w:rPr>
            </w:pPr>
            <w:r w:rsidDel="00000000" w:rsidR="00000000" w:rsidRPr="00000000">
              <w:rPr>
                <w:sz w:val="18"/>
                <w:szCs w:val="18"/>
                <w:rtl w:val="0"/>
              </w:rPr>
              <w:t xml:space="preserve">Flebitis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jc w:val="right"/>
              <w:rPr>
                <w:sz w:val="18"/>
                <w:szCs w:val="18"/>
              </w:rPr>
            </w:pPr>
            <w:r w:rsidDel="00000000" w:rsidR="00000000" w:rsidRPr="00000000">
              <w:rPr>
                <w:sz w:val="18"/>
                <w:szCs w:val="18"/>
                <w:rtl w:val="0"/>
              </w:rPr>
              <w:t xml:space="preserve">8 (5%)</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rPr>
                <w:sz w:val="18"/>
                <w:szCs w:val="18"/>
              </w:rPr>
            </w:pPr>
            <w:r w:rsidDel="00000000" w:rsidR="00000000" w:rsidRPr="00000000">
              <w:rPr>
                <w:sz w:val="18"/>
                <w:szCs w:val="18"/>
                <w:rtl w:val="0"/>
              </w:rPr>
              <w:t xml:space="preserve">Salida accidental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jc w:val="right"/>
              <w:rPr>
                <w:sz w:val="18"/>
                <w:szCs w:val="18"/>
              </w:rPr>
            </w:pPr>
            <w:r w:rsidDel="00000000" w:rsidR="00000000" w:rsidRPr="00000000">
              <w:rPr>
                <w:sz w:val="18"/>
                <w:szCs w:val="18"/>
                <w:rtl w:val="0"/>
              </w:rPr>
              <w:t xml:space="preserve">6 (4%)</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CC">
            <w:pPr>
              <w:rPr>
                <w:sz w:val="18"/>
                <w:szCs w:val="18"/>
              </w:rPr>
            </w:pPr>
            <w:r w:rsidDel="00000000" w:rsidR="00000000" w:rsidRPr="00000000">
              <w:rPr>
                <w:sz w:val="18"/>
                <w:szCs w:val="18"/>
                <w:rtl w:val="0"/>
              </w:rPr>
              <w:t xml:space="preserve">Sin especificar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CD">
            <w:pPr>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CE">
            <w:pPr>
              <w:jc w:val="right"/>
              <w:rPr>
                <w:sz w:val="18"/>
                <w:szCs w:val="18"/>
              </w:rPr>
            </w:pPr>
            <w:r w:rsidDel="00000000" w:rsidR="00000000" w:rsidRPr="00000000">
              <w:rPr>
                <w:sz w:val="18"/>
                <w:szCs w:val="18"/>
                <w:rtl w:val="0"/>
              </w:rPr>
              <w:t xml:space="preserve">4 (2%) </w:t>
            </w:r>
          </w:p>
        </w:tc>
      </w:tr>
    </w:tbl>
    <w:p w:rsidR="00000000" w:rsidDel="00000000" w:rsidP="00000000" w:rsidRDefault="00000000" w:rsidRPr="00000000" w14:paraId="000001CF">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0">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1">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2">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3">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4">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5">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6">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7">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8">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9">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A">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B">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C">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D">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E">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DF">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E0">
      <w:pPr>
        <w:spacing w:after="160" w:line="259" w:lineRule="auto"/>
        <w:jc w:val="left"/>
        <w:rPr>
          <w:sz w:val="22"/>
          <w:szCs w:val="22"/>
        </w:rPr>
      </w:pPr>
      <w:r w:rsidDel="00000000" w:rsidR="00000000" w:rsidRPr="00000000">
        <w:rPr>
          <w:rtl w:val="0"/>
        </w:rPr>
      </w:r>
    </w:p>
    <w:bookmarkStart w:colFirst="0" w:colLast="0" w:name="bookmark=id.1fob9te" w:id="3"/>
    <w:bookmarkEnd w:id="3"/>
    <w:bookmarkStart w:colFirst="0" w:colLast="0" w:name="bookmark=id.2et92p0" w:id="4"/>
    <w:bookmarkEnd w:id="4"/>
    <w:p w:rsidR="00000000" w:rsidDel="00000000" w:rsidP="00000000" w:rsidRDefault="00000000" w:rsidRPr="00000000" w14:paraId="000001E1">
      <w:pPr>
        <w:spacing w:after="160" w:line="259" w:lineRule="auto"/>
        <w:jc w:val="left"/>
        <w:rPr>
          <w:sz w:val="22"/>
          <w:szCs w:val="22"/>
        </w:rPr>
      </w:pPr>
      <w:r w:rsidDel="00000000" w:rsidR="00000000" w:rsidRPr="00000000">
        <w:rPr>
          <w:rtl w:val="0"/>
        </w:rPr>
      </w:r>
    </w:p>
    <w:p w:rsidR="00000000" w:rsidDel="00000000" w:rsidP="00000000" w:rsidRDefault="00000000" w:rsidRPr="00000000" w14:paraId="000001E2">
      <w:pPr>
        <w:spacing w:after="160" w:line="259" w:lineRule="auto"/>
        <w:jc w:val="left"/>
        <w:rPr>
          <w:b w:val="1"/>
          <w:sz w:val="22"/>
          <w:szCs w:val="22"/>
        </w:rPr>
      </w:pPr>
      <w:r w:rsidDel="00000000" w:rsidR="00000000" w:rsidRPr="00000000">
        <w:rPr>
          <w:b w:val="1"/>
          <w:sz w:val="22"/>
          <w:szCs w:val="22"/>
          <w:rtl w:val="0"/>
        </w:rPr>
        <w:t xml:space="preserve">Tabla 3. </w:t>
      </w:r>
      <w:r w:rsidDel="00000000" w:rsidR="00000000" w:rsidRPr="00000000">
        <w:rPr>
          <w:sz w:val="22"/>
          <w:szCs w:val="22"/>
          <w:rtl w:val="0"/>
        </w:rPr>
        <w:t xml:space="preserve">Distribución del grado de flebitis en función del calibre del CVP. </w:t>
      </w:r>
      <w:r w:rsidDel="00000000" w:rsidR="00000000" w:rsidRPr="00000000">
        <w:rPr>
          <w:rtl w:val="0"/>
        </w:rPr>
      </w:r>
    </w:p>
    <w:tbl>
      <w:tblPr>
        <w:tblStyle w:val="Table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699"/>
        <w:gridCol w:w="1699"/>
        <w:gridCol w:w="1699"/>
        <w:gridCol w:w="1699"/>
        <w:tblGridChange w:id="0">
          <w:tblGrid>
            <w:gridCol w:w="1698"/>
            <w:gridCol w:w="1699"/>
            <w:gridCol w:w="1699"/>
            <w:gridCol w:w="1699"/>
            <w:gridCol w:w="1699"/>
          </w:tblGrid>
        </w:tblGridChange>
      </w:tblGrid>
      <w:tr>
        <w:trPr>
          <w:cantSplit w:val="0"/>
          <w:tblHeader w:val="0"/>
        </w:trPr>
        <w:tc>
          <w:tcPr>
            <w:tcBorders>
              <w:bottom w:color="000000" w:space="0" w:sz="4" w:val="single"/>
              <w:right w:color="000000" w:space="0" w:sz="0" w:val="nil"/>
            </w:tcBorders>
            <w:shd w:fill="d9d9d9" w:val="clear"/>
          </w:tcPr>
          <w:p w:rsidR="00000000" w:rsidDel="00000000" w:rsidP="00000000" w:rsidRDefault="00000000" w:rsidRPr="00000000" w14:paraId="000001E3">
            <w:pPr>
              <w:jc w:val="center"/>
              <w:rPr>
                <w:b w:val="1"/>
                <w:sz w:val="18"/>
                <w:szCs w:val="18"/>
              </w:rPr>
            </w:pPr>
            <w:r w:rsidDel="00000000" w:rsidR="00000000" w:rsidRPr="00000000">
              <w:rPr>
                <w:b w:val="1"/>
                <w:sz w:val="18"/>
                <w:szCs w:val="18"/>
                <w:rtl w:val="0"/>
              </w:rPr>
              <w:t xml:space="preserve">Flebitis</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E4">
            <w:pPr>
              <w:jc w:val="center"/>
              <w:rPr>
                <w:b w:val="1"/>
                <w:sz w:val="18"/>
                <w:szCs w:val="18"/>
              </w:rPr>
            </w:pPr>
            <w:r w:rsidDel="00000000" w:rsidR="00000000" w:rsidRPr="00000000">
              <w:rPr>
                <w:b w:val="1"/>
                <w:sz w:val="18"/>
                <w:szCs w:val="18"/>
                <w:rtl w:val="0"/>
              </w:rPr>
              <w:t xml:space="preserve">G14</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E5">
            <w:pPr>
              <w:jc w:val="center"/>
              <w:rPr>
                <w:b w:val="1"/>
                <w:sz w:val="18"/>
                <w:szCs w:val="18"/>
              </w:rPr>
            </w:pPr>
            <w:r w:rsidDel="00000000" w:rsidR="00000000" w:rsidRPr="00000000">
              <w:rPr>
                <w:b w:val="1"/>
                <w:sz w:val="18"/>
                <w:szCs w:val="18"/>
                <w:rtl w:val="0"/>
              </w:rPr>
              <w:t xml:space="preserve">G16</w:t>
            </w:r>
          </w:p>
        </w:tc>
        <w:tc>
          <w:tcPr>
            <w:tcBorders>
              <w:left w:color="000000" w:space="0" w:sz="0" w:val="nil"/>
              <w:bottom w:color="000000" w:space="0" w:sz="4" w:val="single"/>
              <w:right w:color="000000" w:space="0" w:sz="0" w:val="nil"/>
            </w:tcBorders>
            <w:shd w:fill="d9d9d9" w:val="clear"/>
          </w:tcPr>
          <w:p w:rsidR="00000000" w:rsidDel="00000000" w:rsidP="00000000" w:rsidRDefault="00000000" w:rsidRPr="00000000" w14:paraId="000001E6">
            <w:pPr>
              <w:jc w:val="center"/>
              <w:rPr>
                <w:b w:val="1"/>
                <w:sz w:val="18"/>
                <w:szCs w:val="18"/>
              </w:rPr>
            </w:pPr>
            <w:r w:rsidDel="00000000" w:rsidR="00000000" w:rsidRPr="00000000">
              <w:rPr>
                <w:b w:val="1"/>
                <w:sz w:val="18"/>
                <w:szCs w:val="18"/>
                <w:rtl w:val="0"/>
              </w:rPr>
              <w:t xml:space="preserve">G18</w:t>
            </w:r>
          </w:p>
        </w:tc>
        <w:tc>
          <w:tcPr>
            <w:tcBorders>
              <w:left w:color="000000" w:space="0" w:sz="0" w:val="nil"/>
              <w:bottom w:color="000000" w:space="0" w:sz="4" w:val="single"/>
            </w:tcBorders>
            <w:shd w:fill="d9d9d9" w:val="clear"/>
          </w:tcPr>
          <w:p w:rsidR="00000000" w:rsidDel="00000000" w:rsidP="00000000" w:rsidRDefault="00000000" w:rsidRPr="00000000" w14:paraId="000001E7">
            <w:pPr>
              <w:jc w:val="center"/>
              <w:rPr>
                <w:b w:val="1"/>
                <w:sz w:val="18"/>
                <w:szCs w:val="18"/>
              </w:rPr>
            </w:pPr>
            <w:r w:rsidDel="00000000" w:rsidR="00000000" w:rsidRPr="00000000">
              <w:rPr>
                <w:b w:val="1"/>
                <w:sz w:val="18"/>
                <w:szCs w:val="18"/>
                <w:rtl w:val="0"/>
              </w:rPr>
              <w:t xml:space="preserve">G20</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E8">
            <w:pPr>
              <w:jc w:val="center"/>
              <w:rPr>
                <w:sz w:val="18"/>
                <w:szCs w:val="18"/>
              </w:rPr>
            </w:pPr>
            <w:r w:rsidDel="00000000" w:rsidR="00000000" w:rsidRPr="00000000">
              <w:rPr>
                <w:sz w:val="18"/>
                <w:szCs w:val="18"/>
                <w:rtl w:val="0"/>
              </w:rPr>
              <w:t xml:space="preserve">Maddox 2 (N=7)</w:t>
            </w:r>
          </w:p>
        </w:tc>
        <w:tc>
          <w:tcPr>
            <w:tcBorders>
              <w:left w:color="000000" w:space="0" w:sz="0" w:val="nil"/>
              <w:bottom w:color="000000" w:space="0" w:sz="0" w:val="nil"/>
              <w:right w:color="000000" w:space="0" w:sz="0" w:val="nil"/>
            </w:tcBorders>
          </w:tcPr>
          <w:p w:rsidR="00000000" w:rsidDel="00000000" w:rsidP="00000000" w:rsidRDefault="00000000" w:rsidRPr="00000000" w14:paraId="000001E9">
            <w:pPr>
              <w:jc w:val="center"/>
              <w:rPr>
                <w:sz w:val="18"/>
                <w:szCs w:val="18"/>
              </w:rPr>
            </w:pPr>
            <w:r w:rsidDel="00000000" w:rsidR="00000000" w:rsidRPr="00000000">
              <w:rPr>
                <w:sz w:val="18"/>
                <w:szCs w:val="18"/>
                <w:rtl w:val="0"/>
              </w:rPr>
              <w:t xml:space="preserve">-</w:t>
            </w:r>
          </w:p>
        </w:tc>
        <w:tc>
          <w:tcPr>
            <w:tcBorders>
              <w:left w:color="000000" w:space="0" w:sz="0" w:val="nil"/>
              <w:bottom w:color="000000" w:space="0" w:sz="0" w:val="nil"/>
              <w:right w:color="000000" w:space="0" w:sz="0" w:val="nil"/>
            </w:tcBorders>
          </w:tcPr>
          <w:p w:rsidR="00000000" w:rsidDel="00000000" w:rsidP="00000000" w:rsidRDefault="00000000" w:rsidRPr="00000000" w14:paraId="000001EA">
            <w:pPr>
              <w:jc w:val="center"/>
              <w:rPr>
                <w:sz w:val="18"/>
                <w:szCs w:val="18"/>
              </w:rPr>
            </w:pPr>
            <w:r w:rsidDel="00000000" w:rsidR="00000000" w:rsidRPr="00000000">
              <w:rPr>
                <w:sz w:val="18"/>
                <w:szCs w:val="18"/>
                <w:rtl w:val="0"/>
              </w:rPr>
              <w:t xml:space="preserve"> 2 (29%)</w:t>
            </w:r>
          </w:p>
        </w:tc>
        <w:tc>
          <w:tcPr>
            <w:tcBorders>
              <w:left w:color="000000" w:space="0" w:sz="0" w:val="nil"/>
              <w:bottom w:color="000000" w:space="0" w:sz="0" w:val="nil"/>
              <w:right w:color="000000" w:space="0" w:sz="0" w:val="nil"/>
            </w:tcBorders>
          </w:tcPr>
          <w:p w:rsidR="00000000" w:rsidDel="00000000" w:rsidP="00000000" w:rsidRDefault="00000000" w:rsidRPr="00000000" w14:paraId="000001EB">
            <w:pPr>
              <w:jc w:val="center"/>
              <w:rPr>
                <w:sz w:val="18"/>
                <w:szCs w:val="18"/>
              </w:rPr>
            </w:pPr>
            <w:r w:rsidDel="00000000" w:rsidR="00000000" w:rsidRPr="00000000">
              <w:rPr>
                <w:sz w:val="18"/>
                <w:szCs w:val="18"/>
                <w:rtl w:val="0"/>
              </w:rPr>
              <w:t xml:space="preserve">5 (71%)</w:t>
            </w:r>
          </w:p>
        </w:tc>
        <w:tc>
          <w:tcPr>
            <w:tcBorders>
              <w:left w:color="000000" w:space="0" w:sz="0" w:val="nil"/>
              <w:bottom w:color="000000" w:space="0" w:sz="0" w:val="nil"/>
              <w:right w:color="000000" w:space="0" w:sz="0" w:val="nil"/>
            </w:tcBorders>
          </w:tcPr>
          <w:p w:rsidR="00000000" w:rsidDel="00000000" w:rsidP="00000000" w:rsidRDefault="00000000" w:rsidRPr="00000000" w14:paraId="000001EC">
            <w:pPr>
              <w:jc w:val="center"/>
              <w:rPr>
                <w:sz w:val="18"/>
                <w:szCs w:val="18"/>
              </w:rPr>
            </w:pPr>
            <w:r w:rsidDel="00000000" w:rsidR="00000000" w:rsidRPr="00000000">
              <w:rPr>
                <w:sz w:val="18"/>
                <w:szCs w:val="18"/>
                <w:rtl w:val="0"/>
              </w:rPr>
              <w:t xml:space="preserve">-</w:t>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ED">
            <w:pPr>
              <w:jc w:val="center"/>
              <w:rPr>
                <w:sz w:val="18"/>
                <w:szCs w:val="18"/>
              </w:rPr>
            </w:pPr>
            <w:r w:rsidDel="00000000" w:rsidR="00000000" w:rsidRPr="00000000">
              <w:rPr>
                <w:sz w:val="18"/>
                <w:szCs w:val="18"/>
                <w:rtl w:val="0"/>
              </w:rPr>
              <w:t xml:space="preserve">Maddox 3 (N=1)</w:t>
            </w:r>
          </w:p>
        </w:tc>
        <w:tc>
          <w:tcPr>
            <w:tcBorders>
              <w:top w:color="000000" w:space="0" w:sz="0" w:val="nil"/>
              <w:left w:color="000000" w:space="0" w:sz="0" w:val="nil"/>
              <w:right w:color="000000" w:space="0" w:sz="0" w:val="nil"/>
            </w:tcBorders>
          </w:tcPr>
          <w:p w:rsidR="00000000" w:rsidDel="00000000" w:rsidP="00000000" w:rsidRDefault="00000000" w:rsidRPr="00000000" w14:paraId="000001EE">
            <w:pPr>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right w:color="000000" w:space="0" w:sz="0" w:val="nil"/>
            </w:tcBorders>
          </w:tcPr>
          <w:p w:rsidR="00000000" w:rsidDel="00000000" w:rsidP="00000000" w:rsidRDefault="00000000" w:rsidRPr="00000000" w14:paraId="000001EF">
            <w:pPr>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right w:color="000000" w:space="0" w:sz="0" w:val="nil"/>
            </w:tcBorders>
          </w:tcPr>
          <w:p w:rsidR="00000000" w:rsidDel="00000000" w:rsidP="00000000" w:rsidRDefault="00000000" w:rsidRPr="00000000" w14:paraId="000001F0">
            <w:pPr>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right w:color="000000" w:space="0" w:sz="0" w:val="nil"/>
            </w:tcBorders>
          </w:tcPr>
          <w:p w:rsidR="00000000" w:rsidDel="00000000" w:rsidP="00000000" w:rsidRDefault="00000000" w:rsidRPr="00000000" w14:paraId="000001F1">
            <w:pPr>
              <w:jc w:val="center"/>
              <w:rPr>
                <w:sz w:val="18"/>
                <w:szCs w:val="18"/>
              </w:rPr>
            </w:pPr>
            <w:r w:rsidDel="00000000" w:rsidR="00000000" w:rsidRPr="00000000">
              <w:rPr>
                <w:sz w:val="18"/>
                <w:szCs w:val="18"/>
                <w:rtl w:val="0"/>
              </w:rPr>
              <w:t xml:space="preserve">1 (100%)</w:t>
            </w:r>
          </w:p>
        </w:tc>
      </w:tr>
    </w:tbl>
    <w:bookmarkStart w:colFirst="0" w:colLast="0" w:name="bookmark=id.3dy6vkm" w:id="5"/>
    <w:bookmarkEnd w:id="5"/>
    <w:bookmarkStart w:colFirst="0" w:colLast="0" w:name="bookmark=id.tyjcwt" w:id="6"/>
    <w:bookmarkEnd w:id="6"/>
    <w:p w:rsidR="00000000" w:rsidDel="00000000" w:rsidP="00000000" w:rsidRDefault="00000000" w:rsidRPr="00000000" w14:paraId="000001F2">
      <w:pPr>
        <w:rPr>
          <w:b w:val="1"/>
          <w:color w:val="000000"/>
          <w:sz w:val="22"/>
          <w:szCs w:val="22"/>
        </w:rPr>
      </w:pPr>
      <w:r w:rsidDel="00000000" w:rsidR="00000000" w:rsidRPr="00000000">
        <w:rPr>
          <w:rtl w:val="0"/>
        </w:rPr>
      </w:r>
    </w:p>
    <w:p w:rsidR="00000000" w:rsidDel="00000000" w:rsidP="00000000" w:rsidRDefault="00000000" w:rsidRPr="00000000" w14:paraId="000001F3">
      <w:pPr>
        <w:rPr>
          <w:b w:val="1"/>
          <w:color w:val="000000"/>
          <w:sz w:val="22"/>
          <w:szCs w:val="22"/>
        </w:rPr>
      </w:pPr>
      <w:r w:rsidDel="00000000" w:rsidR="00000000" w:rsidRPr="00000000">
        <w:rPr>
          <w:rtl w:val="0"/>
        </w:rPr>
      </w:r>
    </w:p>
    <w:p w:rsidR="00000000" w:rsidDel="00000000" w:rsidP="00000000" w:rsidRDefault="00000000" w:rsidRPr="00000000" w14:paraId="000001F4">
      <w:pPr>
        <w:spacing w:after="220" w:lineRule="auto"/>
        <w:rPr>
          <w:b w:val="1"/>
          <w:sz w:val="22"/>
          <w:szCs w:val="22"/>
        </w:rPr>
      </w:pPr>
      <w:r w:rsidDel="00000000" w:rsidR="00000000" w:rsidRPr="00000000">
        <w:rPr>
          <w:rtl w:val="0"/>
        </w:rPr>
      </w:r>
    </w:p>
    <w:p w:rsidR="00000000" w:rsidDel="00000000" w:rsidP="00000000" w:rsidRDefault="00000000" w:rsidRPr="00000000" w14:paraId="000001F5">
      <w:pPr>
        <w:spacing w:after="220" w:lineRule="auto"/>
        <w:rPr>
          <w:b w:val="1"/>
          <w:sz w:val="22"/>
          <w:szCs w:val="22"/>
        </w:rPr>
      </w:pPr>
      <w:r w:rsidDel="00000000" w:rsidR="00000000" w:rsidRPr="00000000">
        <w:rPr>
          <w:rtl w:val="0"/>
        </w:rPr>
      </w:r>
    </w:p>
    <w:p w:rsidR="00000000" w:rsidDel="00000000" w:rsidP="00000000" w:rsidRDefault="00000000" w:rsidRPr="00000000" w14:paraId="000001F6">
      <w:pPr>
        <w:spacing w:after="220" w:lineRule="auto"/>
        <w:rPr>
          <w:b w:val="1"/>
          <w:sz w:val="22"/>
          <w:szCs w:val="22"/>
        </w:rPr>
      </w:pPr>
      <w:r w:rsidDel="00000000" w:rsidR="00000000" w:rsidRPr="00000000">
        <w:rPr>
          <w:rtl w:val="0"/>
        </w:rPr>
      </w:r>
    </w:p>
    <w:p w:rsidR="00000000" w:rsidDel="00000000" w:rsidP="00000000" w:rsidRDefault="00000000" w:rsidRPr="00000000" w14:paraId="000001F7">
      <w:pPr>
        <w:spacing w:after="220" w:lineRule="auto"/>
        <w:rPr>
          <w:b w:val="1"/>
          <w:sz w:val="22"/>
          <w:szCs w:val="22"/>
        </w:rPr>
      </w:pPr>
      <w:r w:rsidDel="00000000" w:rsidR="00000000" w:rsidRPr="00000000">
        <w:rPr>
          <w:rtl w:val="0"/>
        </w:rPr>
      </w:r>
    </w:p>
    <w:p w:rsidR="00000000" w:rsidDel="00000000" w:rsidP="00000000" w:rsidRDefault="00000000" w:rsidRPr="00000000" w14:paraId="000001F8">
      <w:pPr>
        <w:spacing w:after="220" w:lineRule="auto"/>
        <w:rPr>
          <w:b w:val="1"/>
          <w:sz w:val="22"/>
          <w:szCs w:val="22"/>
        </w:rPr>
      </w:pPr>
      <w:r w:rsidDel="00000000" w:rsidR="00000000" w:rsidRPr="00000000">
        <w:rPr>
          <w:rtl w:val="0"/>
        </w:rPr>
      </w:r>
    </w:p>
    <w:p w:rsidR="00000000" w:rsidDel="00000000" w:rsidP="00000000" w:rsidRDefault="00000000" w:rsidRPr="00000000" w14:paraId="000001F9">
      <w:pPr>
        <w:spacing w:after="220" w:lineRule="auto"/>
        <w:rPr>
          <w:b w:val="1"/>
          <w:sz w:val="22"/>
          <w:szCs w:val="22"/>
        </w:rPr>
      </w:pPr>
      <w:r w:rsidDel="00000000" w:rsidR="00000000" w:rsidRPr="00000000">
        <w:rPr>
          <w:rtl w:val="0"/>
        </w:rPr>
      </w:r>
    </w:p>
    <w:p w:rsidR="00000000" w:rsidDel="00000000" w:rsidP="00000000" w:rsidRDefault="00000000" w:rsidRPr="00000000" w14:paraId="000001FA">
      <w:pPr>
        <w:spacing w:after="220" w:lineRule="auto"/>
        <w:rPr>
          <w:b w:val="1"/>
          <w:sz w:val="22"/>
          <w:szCs w:val="22"/>
        </w:rPr>
      </w:pPr>
      <w:r w:rsidDel="00000000" w:rsidR="00000000" w:rsidRPr="00000000">
        <w:rPr>
          <w:rtl w:val="0"/>
        </w:rPr>
      </w:r>
    </w:p>
    <w:p w:rsidR="00000000" w:rsidDel="00000000" w:rsidP="00000000" w:rsidRDefault="00000000" w:rsidRPr="00000000" w14:paraId="000001FB">
      <w:pPr>
        <w:spacing w:after="220" w:lineRule="auto"/>
        <w:rPr>
          <w:b w:val="1"/>
          <w:sz w:val="22"/>
          <w:szCs w:val="22"/>
        </w:rPr>
      </w:pPr>
      <w:r w:rsidDel="00000000" w:rsidR="00000000" w:rsidRPr="00000000">
        <w:rPr>
          <w:rtl w:val="0"/>
        </w:rPr>
      </w:r>
    </w:p>
    <w:p w:rsidR="00000000" w:rsidDel="00000000" w:rsidP="00000000" w:rsidRDefault="00000000" w:rsidRPr="00000000" w14:paraId="000001FC">
      <w:pPr>
        <w:spacing w:after="220" w:lineRule="auto"/>
        <w:rPr>
          <w:b w:val="1"/>
          <w:sz w:val="22"/>
          <w:szCs w:val="22"/>
        </w:rPr>
      </w:pPr>
      <w:r w:rsidDel="00000000" w:rsidR="00000000" w:rsidRPr="00000000">
        <w:rPr>
          <w:rtl w:val="0"/>
        </w:rPr>
      </w:r>
    </w:p>
    <w:p w:rsidR="00000000" w:rsidDel="00000000" w:rsidP="00000000" w:rsidRDefault="00000000" w:rsidRPr="00000000" w14:paraId="000001FD">
      <w:pPr>
        <w:spacing w:after="220" w:lineRule="auto"/>
        <w:rPr>
          <w:b w:val="1"/>
          <w:sz w:val="22"/>
          <w:szCs w:val="22"/>
        </w:rPr>
      </w:pPr>
      <w:r w:rsidDel="00000000" w:rsidR="00000000" w:rsidRPr="00000000">
        <w:rPr>
          <w:rtl w:val="0"/>
        </w:rPr>
      </w:r>
    </w:p>
    <w:p w:rsidR="00000000" w:rsidDel="00000000" w:rsidP="00000000" w:rsidRDefault="00000000" w:rsidRPr="00000000" w14:paraId="000001FE">
      <w:pPr>
        <w:spacing w:after="220" w:lineRule="auto"/>
        <w:rPr>
          <w:b w:val="1"/>
          <w:sz w:val="22"/>
          <w:szCs w:val="22"/>
        </w:rPr>
      </w:pPr>
      <w:r w:rsidDel="00000000" w:rsidR="00000000" w:rsidRPr="00000000">
        <w:rPr>
          <w:rtl w:val="0"/>
        </w:rPr>
      </w:r>
    </w:p>
    <w:p w:rsidR="00000000" w:rsidDel="00000000" w:rsidP="00000000" w:rsidRDefault="00000000" w:rsidRPr="00000000" w14:paraId="000001FF">
      <w:pPr>
        <w:spacing w:after="220" w:lineRule="auto"/>
        <w:rPr>
          <w:b w:val="1"/>
          <w:sz w:val="22"/>
          <w:szCs w:val="22"/>
        </w:rPr>
      </w:pPr>
      <w:r w:rsidDel="00000000" w:rsidR="00000000" w:rsidRPr="00000000">
        <w:rPr>
          <w:rtl w:val="0"/>
        </w:rPr>
      </w:r>
    </w:p>
    <w:p w:rsidR="00000000" w:rsidDel="00000000" w:rsidP="00000000" w:rsidRDefault="00000000" w:rsidRPr="00000000" w14:paraId="00000200">
      <w:pPr>
        <w:spacing w:after="220" w:lineRule="auto"/>
        <w:rPr>
          <w:b w:val="1"/>
          <w:sz w:val="22"/>
          <w:szCs w:val="22"/>
        </w:rPr>
      </w:pPr>
      <w:r w:rsidDel="00000000" w:rsidR="00000000" w:rsidRPr="00000000">
        <w:rPr>
          <w:rtl w:val="0"/>
        </w:rPr>
      </w:r>
    </w:p>
    <w:p w:rsidR="00000000" w:rsidDel="00000000" w:rsidP="00000000" w:rsidRDefault="00000000" w:rsidRPr="00000000" w14:paraId="00000201">
      <w:pPr>
        <w:spacing w:after="220" w:lineRule="auto"/>
        <w:rPr>
          <w:b w:val="1"/>
          <w:sz w:val="22"/>
          <w:szCs w:val="22"/>
        </w:rPr>
      </w:pPr>
      <w:r w:rsidDel="00000000" w:rsidR="00000000" w:rsidRPr="00000000">
        <w:rPr>
          <w:rtl w:val="0"/>
        </w:rPr>
      </w:r>
    </w:p>
    <w:p w:rsidR="00000000" w:rsidDel="00000000" w:rsidP="00000000" w:rsidRDefault="00000000" w:rsidRPr="00000000" w14:paraId="00000202">
      <w:pPr>
        <w:spacing w:after="220" w:lineRule="auto"/>
        <w:rPr>
          <w:b w:val="1"/>
          <w:sz w:val="22"/>
          <w:szCs w:val="22"/>
        </w:rPr>
      </w:pPr>
      <w:r w:rsidDel="00000000" w:rsidR="00000000" w:rsidRPr="00000000">
        <w:rPr>
          <w:rtl w:val="0"/>
        </w:rPr>
      </w:r>
    </w:p>
    <w:p w:rsidR="00000000" w:rsidDel="00000000" w:rsidP="00000000" w:rsidRDefault="00000000" w:rsidRPr="00000000" w14:paraId="00000203">
      <w:pPr>
        <w:spacing w:after="220" w:lineRule="auto"/>
        <w:rPr>
          <w:b w:val="1"/>
          <w:sz w:val="22"/>
          <w:szCs w:val="22"/>
        </w:rPr>
      </w:pPr>
      <w:r w:rsidDel="00000000" w:rsidR="00000000" w:rsidRPr="00000000">
        <w:rPr>
          <w:rtl w:val="0"/>
        </w:rPr>
      </w:r>
    </w:p>
    <w:p w:rsidR="00000000" w:rsidDel="00000000" w:rsidP="00000000" w:rsidRDefault="00000000" w:rsidRPr="00000000" w14:paraId="00000204">
      <w:pPr>
        <w:spacing w:after="220" w:lineRule="auto"/>
        <w:rPr>
          <w:b w:val="1"/>
          <w:sz w:val="22"/>
          <w:szCs w:val="22"/>
        </w:rPr>
      </w:pPr>
      <w:r w:rsidDel="00000000" w:rsidR="00000000" w:rsidRPr="00000000">
        <w:rPr>
          <w:rtl w:val="0"/>
        </w:rPr>
      </w:r>
    </w:p>
    <w:p w:rsidR="00000000" w:rsidDel="00000000" w:rsidP="00000000" w:rsidRDefault="00000000" w:rsidRPr="00000000" w14:paraId="00000205">
      <w:pPr>
        <w:spacing w:after="220" w:lineRule="auto"/>
        <w:rPr>
          <w:b w:val="1"/>
          <w:sz w:val="22"/>
          <w:szCs w:val="22"/>
        </w:rPr>
      </w:pPr>
      <w:r w:rsidDel="00000000" w:rsidR="00000000" w:rsidRPr="00000000">
        <w:rPr>
          <w:rtl w:val="0"/>
        </w:rPr>
      </w:r>
    </w:p>
    <w:p w:rsidR="00000000" w:rsidDel="00000000" w:rsidP="00000000" w:rsidRDefault="00000000" w:rsidRPr="00000000" w14:paraId="00000206">
      <w:pPr>
        <w:spacing w:after="220" w:lineRule="auto"/>
        <w:rPr>
          <w:b w:val="1"/>
          <w:sz w:val="22"/>
          <w:szCs w:val="22"/>
        </w:rPr>
      </w:pPr>
      <w:r w:rsidDel="00000000" w:rsidR="00000000" w:rsidRPr="00000000">
        <w:rPr>
          <w:rtl w:val="0"/>
        </w:rPr>
      </w:r>
    </w:p>
    <w:p w:rsidR="00000000" w:rsidDel="00000000" w:rsidP="00000000" w:rsidRDefault="00000000" w:rsidRPr="00000000" w14:paraId="00000207">
      <w:pPr>
        <w:spacing w:after="220" w:lineRule="auto"/>
        <w:rPr>
          <w:b w:val="1"/>
          <w:sz w:val="22"/>
          <w:szCs w:val="22"/>
        </w:rPr>
      </w:pPr>
      <w:r w:rsidDel="00000000" w:rsidR="00000000" w:rsidRPr="00000000">
        <w:rPr>
          <w:rtl w:val="0"/>
        </w:rPr>
      </w:r>
    </w:p>
    <w:p w:rsidR="00000000" w:rsidDel="00000000" w:rsidP="00000000" w:rsidRDefault="00000000" w:rsidRPr="00000000" w14:paraId="00000208">
      <w:pPr>
        <w:spacing w:after="220" w:lineRule="auto"/>
        <w:rPr>
          <w:b w:val="1"/>
          <w:sz w:val="22"/>
          <w:szCs w:val="22"/>
        </w:rPr>
      </w:pPr>
      <w:r w:rsidDel="00000000" w:rsidR="00000000" w:rsidRPr="00000000">
        <w:rPr>
          <w:rtl w:val="0"/>
        </w:rPr>
      </w:r>
    </w:p>
    <w:p w:rsidR="00000000" w:rsidDel="00000000" w:rsidP="00000000" w:rsidRDefault="00000000" w:rsidRPr="00000000" w14:paraId="00000209">
      <w:pPr>
        <w:spacing w:after="220" w:lineRule="auto"/>
        <w:rPr>
          <w:b w:val="1"/>
          <w:sz w:val="22"/>
          <w:szCs w:val="22"/>
        </w:rPr>
      </w:pPr>
      <w:r w:rsidDel="00000000" w:rsidR="00000000" w:rsidRPr="00000000">
        <w:rPr>
          <w:rtl w:val="0"/>
        </w:rPr>
      </w:r>
    </w:p>
    <w:p w:rsidR="00000000" w:rsidDel="00000000" w:rsidP="00000000" w:rsidRDefault="00000000" w:rsidRPr="00000000" w14:paraId="0000020A">
      <w:pPr>
        <w:spacing w:after="220" w:lineRule="auto"/>
        <w:rPr>
          <w:b w:val="1"/>
          <w:sz w:val="22"/>
          <w:szCs w:val="22"/>
        </w:rPr>
      </w:pPr>
      <w:r w:rsidDel="00000000" w:rsidR="00000000" w:rsidRPr="00000000">
        <w:rPr>
          <w:rtl w:val="0"/>
        </w:rPr>
      </w:r>
    </w:p>
    <w:p w:rsidR="00000000" w:rsidDel="00000000" w:rsidP="00000000" w:rsidRDefault="00000000" w:rsidRPr="00000000" w14:paraId="0000020B">
      <w:pPr>
        <w:spacing w:after="220" w:lineRule="auto"/>
        <w:rPr>
          <w:b w:val="1"/>
          <w:sz w:val="22"/>
          <w:szCs w:val="22"/>
        </w:rPr>
      </w:pPr>
      <w:r w:rsidDel="00000000" w:rsidR="00000000" w:rsidRPr="00000000">
        <w:rPr>
          <w:rtl w:val="0"/>
        </w:rPr>
      </w:r>
    </w:p>
    <w:p w:rsidR="00000000" w:rsidDel="00000000" w:rsidP="00000000" w:rsidRDefault="00000000" w:rsidRPr="00000000" w14:paraId="0000020C">
      <w:pPr>
        <w:spacing w:after="220" w:lineRule="auto"/>
        <w:rPr>
          <w:sz w:val="22"/>
          <w:szCs w:val="22"/>
        </w:rPr>
      </w:pPr>
      <w:r w:rsidDel="00000000" w:rsidR="00000000" w:rsidRPr="00000000">
        <w:rPr>
          <w:b w:val="1"/>
          <w:sz w:val="22"/>
          <w:szCs w:val="22"/>
          <w:rtl w:val="0"/>
        </w:rPr>
        <w:t xml:space="preserve">Tabla 4</w:t>
      </w:r>
      <w:r w:rsidDel="00000000" w:rsidR="00000000" w:rsidRPr="00000000">
        <w:rPr>
          <w:sz w:val="22"/>
          <w:szCs w:val="22"/>
          <w:rtl w:val="0"/>
        </w:rPr>
        <w:t xml:space="preserve">. Distribución de flebitis y extravasación en función del número de catéteres del mismo diámetro. </w:t>
      </w:r>
    </w:p>
    <w:tbl>
      <w:tblPr>
        <w:tblStyle w:val="Table5"/>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842"/>
        <w:gridCol w:w="142"/>
        <w:gridCol w:w="1418"/>
        <w:gridCol w:w="1417"/>
        <w:gridCol w:w="1418"/>
        <w:gridCol w:w="1417"/>
        <w:tblGridChange w:id="0">
          <w:tblGrid>
            <w:gridCol w:w="988"/>
            <w:gridCol w:w="1842"/>
            <w:gridCol w:w="142"/>
            <w:gridCol w:w="1418"/>
            <w:gridCol w:w="1417"/>
            <w:gridCol w:w="1418"/>
            <w:gridCol w:w="1417"/>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20D">
            <w:pPr>
              <w:jc w:val="center"/>
              <w:rPr>
                <w:b w:val="1"/>
                <w:sz w:val="18"/>
                <w:szCs w:val="18"/>
              </w:rPr>
            </w:pPr>
            <w:r w:rsidDel="00000000" w:rsidR="00000000" w:rsidRPr="00000000">
              <w:rPr>
                <w:b w:val="1"/>
                <w:sz w:val="18"/>
                <w:szCs w:val="18"/>
                <w:rtl w:val="0"/>
              </w:rPr>
              <w:t xml:space="preserve">Diámetro del catéter</w:t>
            </w:r>
          </w:p>
        </w:tc>
        <w:tc>
          <w:tcPr>
            <w:gridSpan w:val="2"/>
            <w:tcBorders>
              <w:bottom w:color="000000" w:space="0" w:sz="4" w:val="single"/>
            </w:tcBorders>
            <w:shd w:fill="d9d9d9" w:val="clear"/>
          </w:tcPr>
          <w:p w:rsidR="00000000" w:rsidDel="00000000" w:rsidP="00000000" w:rsidRDefault="00000000" w:rsidRPr="00000000" w14:paraId="0000020E">
            <w:pPr>
              <w:jc w:val="center"/>
              <w:rPr>
                <w:b w:val="1"/>
                <w:sz w:val="18"/>
                <w:szCs w:val="18"/>
              </w:rPr>
            </w:pPr>
            <w:r w:rsidDel="00000000" w:rsidR="00000000" w:rsidRPr="00000000">
              <w:rPr>
                <w:b w:val="1"/>
                <w:sz w:val="18"/>
                <w:szCs w:val="18"/>
                <w:rtl w:val="0"/>
              </w:rPr>
              <w:t xml:space="preserve">N.º catéteres insertados según diámetro</w:t>
            </w:r>
          </w:p>
        </w:tc>
        <w:tc>
          <w:tcPr>
            <w:tcBorders>
              <w:bottom w:color="000000" w:space="0" w:sz="4" w:val="single"/>
            </w:tcBorders>
            <w:shd w:fill="d9d9d9" w:val="clear"/>
          </w:tcPr>
          <w:p w:rsidR="00000000" w:rsidDel="00000000" w:rsidP="00000000" w:rsidRDefault="00000000" w:rsidRPr="00000000" w14:paraId="00000210">
            <w:pPr>
              <w:jc w:val="center"/>
              <w:rPr>
                <w:b w:val="1"/>
                <w:color w:val="000000"/>
                <w:sz w:val="18"/>
                <w:szCs w:val="18"/>
              </w:rPr>
            </w:pPr>
            <w:r w:rsidDel="00000000" w:rsidR="00000000" w:rsidRPr="00000000">
              <w:rPr>
                <w:b w:val="1"/>
                <w:color w:val="000000"/>
                <w:sz w:val="18"/>
                <w:szCs w:val="18"/>
                <w:rtl w:val="0"/>
              </w:rPr>
              <w:t xml:space="preserve">N.º (%) catéteres sin flebitis</w:t>
            </w:r>
          </w:p>
        </w:tc>
        <w:tc>
          <w:tcPr>
            <w:tcBorders>
              <w:bottom w:color="000000" w:space="0" w:sz="4" w:val="single"/>
            </w:tcBorders>
            <w:shd w:fill="d9d9d9" w:val="clear"/>
          </w:tcPr>
          <w:p w:rsidR="00000000" w:rsidDel="00000000" w:rsidP="00000000" w:rsidRDefault="00000000" w:rsidRPr="00000000" w14:paraId="00000211">
            <w:pPr>
              <w:jc w:val="center"/>
              <w:rPr>
                <w:b w:val="1"/>
                <w:sz w:val="18"/>
                <w:szCs w:val="18"/>
              </w:rPr>
            </w:pPr>
            <w:r w:rsidDel="00000000" w:rsidR="00000000" w:rsidRPr="00000000">
              <w:rPr>
                <w:b w:val="1"/>
                <w:color w:val="000000"/>
                <w:sz w:val="18"/>
                <w:szCs w:val="18"/>
                <w:rtl w:val="0"/>
              </w:rPr>
              <w:t xml:space="preserve">N.º (%) catéteres con flebitis</w:t>
            </w:r>
            <w:r w:rsidDel="00000000" w:rsidR="00000000" w:rsidRPr="00000000">
              <w:rPr>
                <w:rtl w:val="0"/>
              </w:rPr>
            </w:r>
          </w:p>
        </w:tc>
        <w:tc>
          <w:tcPr>
            <w:tcBorders>
              <w:bottom w:color="000000" w:space="0" w:sz="4" w:val="single"/>
            </w:tcBorders>
            <w:shd w:fill="d9d9d9" w:val="clear"/>
          </w:tcPr>
          <w:p w:rsidR="00000000" w:rsidDel="00000000" w:rsidP="00000000" w:rsidRDefault="00000000" w:rsidRPr="00000000" w14:paraId="00000212">
            <w:pPr>
              <w:jc w:val="center"/>
              <w:rPr>
                <w:b w:val="1"/>
                <w:sz w:val="18"/>
                <w:szCs w:val="18"/>
              </w:rPr>
            </w:pPr>
            <w:r w:rsidDel="00000000" w:rsidR="00000000" w:rsidRPr="00000000">
              <w:rPr>
                <w:b w:val="1"/>
                <w:sz w:val="18"/>
                <w:szCs w:val="18"/>
                <w:rtl w:val="0"/>
              </w:rPr>
              <w:t xml:space="preserve">N.º (%) catéteres extravasados</w:t>
            </w:r>
          </w:p>
        </w:tc>
        <w:tc>
          <w:tcPr>
            <w:tcBorders>
              <w:bottom w:color="000000" w:space="0" w:sz="4" w:val="single"/>
            </w:tcBorders>
            <w:shd w:fill="d9d9d9" w:val="clear"/>
          </w:tcPr>
          <w:p w:rsidR="00000000" w:rsidDel="00000000" w:rsidP="00000000" w:rsidRDefault="00000000" w:rsidRPr="00000000" w14:paraId="00000213">
            <w:pPr>
              <w:jc w:val="center"/>
              <w:rPr>
                <w:b w:val="1"/>
                <w:sz w:val="18"/>
                <w:szCs w:val="18"/>
              </w:rPr>
            </w:pPr>
            <w:r w:rsidDel="00000000" w:rsidR="00000000" w:rsidRPr="00000000">
              <w:rPr>
                <w:b w:val="1"/>
                <w:sz w:val="18"/>
                <w:szCs w:val="18"/>
                <w:rtl w:val="0"/>
              </w:rPr>
              <w:t xml:space="preserve">N.º (%) catéteres no extravasados</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214">
            <w:pPr>
              <w:spacing w:after="220" w:lineRule="auto"/>
              <w:jc w:val="center"/>
              <w:rPr>
                <w:b w:val="1"/>
                <w:sz w:val="18"/>
                <w:szCs w:val="18"/>
              </w:rPr>
            </w:pPr>
            <w:r w:rsidDel="00000000" w:rsidR="00000000" w:rsidRPr="00000000">
              <w:rPr>
                <w:b w:val="1"/>
                <w:sz w:val="18"/>
                <w:szCs w:val="18"/>
                <w:rtl w:val="0"/>
              </w:rPr>
              <w:t xml:space="preserve">14G</w:t>
            </w:r>
          </w:p>
        </w:tc>
        <w:tc>
          <w:tcPr>
            <w:tcBorders>
              <w:left w:color="000000" w:space="0" w:sz="0" w:val="nil"/>
              <w:bottom w:color="000000" w:space="0" w:sz="0" w:val="nil"/>
              <w:right w:color="000000" w:space="0" w:sz="0" w:val="nil"/>
            </w:tcBorders>
          </w:tcPr>
          <w:p w:rsidR="00000000" w:rsidDel="00000000" w:rsidP="00000000" w:rsidRDefault="00000000" w:rsidRPr="00000000" w14:paraId="00000215">
            <w:pPr>
              <w:spacing w:after="220" w:lineRule="auto"/>
              <w:jc w:val="center"/>
              <w:rPr>
                <w:sz w:val="18"/>
                <w:szCs w:val="18"/>
              </w:rPr>
            </w:pPr>
            <w:r w:rsidDel="00000000" w:rsidR="00000000" w:rsidRPr="00000000">
              <w:rPr>
                <w:sz w:val="18"/>
                <w:szCs w:val="18"/>
                <w:rtl w:val="0"/>
              </w:rPr>
              <w:t xml:space="preserve">1</w:t>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216">
            <w:pPr>
              <w:spacing w:after="220" w:lineRule="auto"/>
              <w:jc w:val="center"/>
              <w:rPr>
                <w:color w:val="000000"/>
                <w:sz w:val="18"/>
                <w:szCs w:val="18"/>
              </w:rPr>
            </w:pPr>
            <w:r w:rsidDel="00000000" w:rsidR="00000000" w:rsidRPr="00000000">
              <w:rPr>
                <w:sz w:val="18"/>
                <w:szCs w:val="18"/>
                <w:rtl w:val="0"/>
              </w:rPr>
              <w:t xml:space="preserve">1 (100%)</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218">
            <w:pPr>
              <w:spacing w:after="220" w:lineRule="auto"/>
              <w:jc w:val="center"/>
              <w:rPr>
                <w:sz w:val="18"/>
                <w:szCs w:val="18"/>
              </w:rPr>
            </w:pPr>
            <w:r w:rsidDel="00000000" w:rsidR="00000000" w:rsidRPr="00000000">
              <w:rPr>
                <w:sz w:val="18"/>
                <w:szCs w:val="18"/>
                <w:rtl w:val="0"/>
              </w:rPr>
              <w:t xml:space="preserve">0 (0%)</w:t>
            </w:r>
          </w:p>
        </w:tc>
        <w:tc>
          <w:tcPr>
            <w:tcBorders>
              <w:left w:color="000000" w:space="0" w:sz="0" w:val="nil"/>
              <w:bottom w:color="000000" w:space="0" w:sz="0" w:val="nil"/>
              <w:right w:color="000000" w:space="0" w:sz="0" w:val="nil"/>
            </w:tcBorders>
          </w:tcPr>
          <w:p w:rsidR="00000000" w:rsidDel="00000000" w:rsidP="00000000" w:rsidRDefault="00000000" w:rsidRPr="00000000" w14:paraId="00000219">
            <w:pPr>
              <w:spacing w:after="220" w:lineRule="auto"/>
              <w:jc w:val="center"/>
              <w:rPr>
                <w:sz w:val="18"/>
                <w:szCs w:val="18"/>
              </w:rPr>
            </w:pPr>
            <w:r w:rsidDel="00000000" w:rsidR="00000000" w:rsidRPr="00000000">
              <w:rPr>
                <w:sz w:val="18"/>
                <w:szCs w:val="18"/>
                <w:rtl w:val="0"/>
              </w:rPr>
              <w:t xml:space="preserve">1 (100%)</w:t>
            </w:r>
          </w:p>
        </w:tc>
        <w:tc>
          <w:tcPr>
            <w:tcBorders>
              <w:left w:color="000000" w:space="0" w:sz="0" w:val="nil"/>
              <w:bottom w:color="000000" w:space="0" w:sz="0" w:val="nil"/>
              <w:right w:color="000000" w:space="0" w:sz="0" w:val="nil"/>
            </w:tcBorders>
          </w:tcPr>
          <w:p w:rsidR="00000000" w:rsidDel="00000000" w:rsidP="00000000" w:rsidRDefault="00000000" w:rsidRPr="00000000" w14:paraId="0000021A">
            <w:pPr>
              <w:spacing w:after="220" w:lineRule="auto"/>
              <w:jc w:val="center"/>
              <w:rPr>
                <w:sz w:val="18"/>
                <w:szCs w:val="18"/>
              </w:rPr>
            </w:pPr>
            <w:r w:rsidDel="00000000" w:rsidR="00000000" w:rsidRPr="00000000">
              <w:rPr>
                <w:sz w:val="18"/>
                <w:szCs w:val="18"/>
                <w:rtl w:val="0"/>
              </w:rPr>
              <w:t xml:space="preserve">0 (0%)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B">
            <w:pPr>
              <w:spacing w:after="220" w:lineRule="auto"/>
              <w:jc w:val="center"/>
              <w:rPr>
                <w:b w:val="1"/>
                <w:sz w:val="18"/>
                <w:szCs w:val="18"/>
              </w:rPr>
            </w:pPr>
            <w:r w:rsidDel="00000000" w:rsidR="00000000" w:rsidRPr="00000000">
              <w:rPr>
                <w:b w:val="1"/>
                <w:sz w:val="18"/>
                <w:szCs w:val="18"/>
                <w:rtl w:val="0"/>
              </w:rPr>
              <w:t xml:space="preserve">16G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C">
            <w:pPr>
              <w:spacing w:after="220" w:lineRule="auto"/>
              <w:jc w:val="center"/>
              <w:rPr>
                <w:sz w:val="18"/>
                <w:szCs w:val="18"/>
              </w:rPr>
            </w:pPr>
            <w:r w:rsidDel="00000000" w:rsidR="00000000" w:rsidRPr="00000000">
              <w:rPr>
                <w:sz w:val="18"/>
                <w:szCs w:val="18"/>
                <w:rtl w:val="0"/>
              </w:rPr>
              <w:t xml:space="preserve">3</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D">
            <w:pPr>
              <w:spacing w:after="220" w:lineRule="auto"/>
              <w:jc w:val="center"/>
              <w:rPr>
                <w:color w:val="000000"/>
                <w:sz w:val="18"/>
                <w:szCs w:val="18"/>
              </w:rPr>
            </w:pPr>
            <w:r w:rsidDel="00000000" w:rsidR="00000000" w:rsidRPr="00000000">
              <w:rPr>
                <w:color w:val="000000"/>
                <w:sz w:val="18"/>
                <w:szCs w:val="18"/>
                <w:rtl w:val="0"/>
              </w:rPr>
              <w:t xml:space="preserve">1 (33.3%)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F">
            <w:pPr>
              <w:spacing w:after="220" w:lineRule="auto"/>
              <w:jc w:val="center"/>
              <w:rPr>
                <w:sz w:val="18"/>
                <w:szCs w:val="18"/>
              </w:rPr>
            </w:pPr>
            <w:r w:rsidDel="00000000" w:rsidR="00000000" w:rsidRPr="00000000">
              <w:rPr>
                <w:color w:val="000000"/>
                <w:sz w:val="18"/>
                <w:szCs w:val="18"/>
                <w:rtl w:val="0"/>
              </w:rPr>
              <w:t xml:space="preserve">2 (66.7</w:t>
            </w:r>
            <w:r w:rsidDel="00000000" w:rsidR="00000000" w:rsidRPr="00000000">
              <w:rPr>
                <w:sz w:val="18"/>
                <w:szCs w:val="18"/>
                <w:rtl w:val="0"/>
              </w:rPr>
              <w:t xml:space="preserve">%</w:t>
            </w:r>
            <w:r w:rsidDel="00000000" w:rsidR="00000000" w:rsidRPr="00000000">
              <w:rPr>
                <w:color w:val="000000"/>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0">
            <w:pPr>
              <w:spacing w:after="220" w:lineRule="auto"/>
              <w:jc w:val="center"/>
              <w:rPr>
                <w:sz w:val="18"/>
                <w:szCs w:val="18"/>
              </w:rPr>
            </w:pPr>
            <w:r w:rsidDel="00000000" w:rsidR="00000000" w:rsidRPr="00000000">
              <w:rPr>
                <w:sz w:val="18"/>
                <w:szCs w:val="18"/>
                <w:rtl w:val="0"/>
              </w:rPr>
              <w:t xml:space="preserve">1 (33.3%)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1">
            <w:pPr>
              <w:spacing w:after="220" w:lineRule="auto"/>
              <w:jc w:val="center"/>
              <w:rPr>
                <w:sz w:val="18"/>
                <w:szCs w:val="18"/>
              </w:rPr>
            </w:pPr>
            <w:r w:rsidDel="00000000" w:rsidR="00000000" w:rsidRPr="00000000">
              <w:rPr>
                <w:sz w:val="18"/>
                <w:szCs w:val="18"/>
                <w:rtl w:val="0"/>
              </w:rPr>
              <w:t xml:space="preserve">2 (66.7%)</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2">
            <w:pPr>
              <w:spacing w:after="220" w:lineRule="auto"/>
              <w:jc w:val="center"/>
              <w:rPr>
                <w:b w:val="1"/>
                <w:sz w:val="18"/>
                <w:szCs w:val="18"/>
              </w:rPr>
            </w:pPr>
            <w:r w:rsidDel="00000000" w:rsidR="00000000" w:rsidRPr="00000000">
              <w:rPr>
                <w:b w:val="1"/>
                <w:sz w:val="18"/>
                <w:szCs w:val="18"/>
                <w:rtl w:val="0"/>
              </w:rPr>
              <w:t xml:space="preserve">18G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3">
            <w:pPr>
              <w:spacing w:after="220" w:lineRule="auto"/>
              <w:jc w:val="center"/>
              <w:rPr>
                <w:sz w:val="18"/>
                <w:szCs w:val="18"/>
              </w:rPr>
            </w:pPr>
            <w:r w:rsidDel="00000000" w:rsidR="00000000" w:rsidRPr="00000000">
              <w:rPr>
                <w:sz w:val="18"/>
                <w:szCs w:val="18"/>
                <w:rtl w:val="0"/>
              </w:rPr>
              <w:t xml:space="preserve">125</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4">
            <w:pPr>
              <w:spacing w:after="220" w:lineRule="auto"/>
              <w:jc w:val="center"/>
              <w:rPr>
                <w:color w:val="000000"/>
                <w:sz w:val="18"/>
                <w:szCs w:val="18"/>
              </w:rPr>
            </w:pPr>
            <w:r w:rsidDel="00000000" w:rsidR="00000000" w:rsidRPr="00000000">
              <w:rPr>
                <w:color w:val="000000"/>
                <w:sz w:val="18"/>
                <w:szCs w:val="18"/>
                <w:rtl w:val="0"/>
              </w:rPr>
              <w:t xml:space="preserve">120 (96%)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6">
            <w:pPr>
              <w:spacing w:after="220" w:lineRule="auto"/>
              <w:jc w:val="center"/>
              <w:rPr>
                <w:sz w:val="18"/>
                <w:szCs w:val="18"/>
              </w:rPr>
            </w:pPr>
            <w:r w:rsidDel="00000000" w:rsidR="00000000" w:rsidRPr="00000000">
              <w:rPr>
                <w:color w:val="000000"/>
                <w:sz w:val="18"/>
                <w:szCs w:val="18"/>
                <w:rtl w:val="0"/>
              </w:rPr>
              <w:t xml:space="preserve">5 (4</w:t>
            </w:r>
            <w:r w:rsidDel="00000000" w:rsidR="00000000" w:rsidRPr="00000000">
              <w:rPr>
                <w:sz w:val="18"/>
                <w:szCs w:val="18"/>
                <w:rtl w:val="0"/>
              </w:rPr>
              <w:t xml:space="preserve">%</w:t>
            </w:r>
            <w:r w:rsidDel="00000000" w:rsidR="00000000" w:rsidRPr="00000000">
              <w:rPr>
                <w:color w:val="000000"/>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7">
            <w:pPr>
              <w:spacing w:after="220" w:lineRule="auto"/>
              <w:jc w:val="center"/>
              <w:rPr>
                <w:sz w:val="18"/>
                <w:szCs w:val="18"/>
              </w:rPr>
            </w:pPr>
            <w:r w:rsidDel="00000000" w:rsidR="00000000" w:rsidRPr="00000000">
              <w:rPr>
                <w:sz w:val="18"/>
                <w:szCs w:val="18"/>
                <w:rtl w:val="0"/>
              </w:rPr>
              <w:t xml:space="preserve">3 (2.4%)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8">
            <w:pPr>
              <w:spacing w:after="220" w:lineRule="auto"/>
              <w:jc w:val="center"/>
              <w:rPr>
                <w:sz w:val="18"/>
                <w:szCs w:val="18"/>
              </w:rPr>
            </w:pPr>
            <w:r w:rsidDel="00000000" w:rsidR="00000000" w:rsidRPr="00000000">
              <w:rPr>
                <w:sz w:val="18"/>
                <w:szCs w:val="18"/>
                <w:rtl w:val="0"/>
              </w:rPr>
              <w:t xml:space="preserve">122 (97.6%)</w:t>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229">
            <w:pPr>
              <w:spacing w:after="220" w:lineRule="auto"/>
              <w:jc w:val="center"/>
              <w:rPr>
                <w:b w:val="1"/>
                <w:sz w:val="18"/>
                <w:szCs w:val="18"/>
              </w:rPr>
            </w:pPr>
            <w:r w:rsidDel="00000000" w:rsidR="00000000" w:rsidRPr="00000000">
              <w:rPr>
                <w:b w:val="1"/>
                <w:sz w:val="18"/>
                <w:szCs w:val="18"/>
                <w:rtl w:val="0"/>
              </w:rPr>
              <w:t xml:space="preserve">20G</w:t>
            </w:r>
          </w:p>
        </w:tc>
        <w:tc>
          <w:tcPr>
            <w:tcBorders>
              <w:top w:color="000000" w:space="0" w:sz="0" w:val="nil"/>
              <w:left w:color="000000" w:space="0" w:sz="0" w:val="nil"/>
              <w:right w:color="000000" w:space="0" w:sz="0" w:val="nil"/>
            </w:tcBorders>
          </w:tcPr>
          <w:p w:rsidR="00000000" w:rsidDel="00000000" w:rsidP="00000000" w:rsidRDefault="00000000" w:rsidRPr="00000000" w14:paraId="0000022A">
            <w:pPr>
              <w:spacing w:after="220" w:lineRule="auto"/>
              <w:jc w:val="center"/>
              <w:rPr>
                <w:sz w:val="18"/>
                <w:szCs w:val="18"/>
              </w:rPr>
            </w:pPr>
            <w:r w:rsidDel="00000000" w:rsidR="00000000" w:rsidRPr="00000000">
              <w:rPr>
                <w:sz w:val="18"/>
                <w:szCs w:val="18"/>
                <w:rtl w:val="0"/>
              </w:rPr>
              <w:t xml:space="preserve">45</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22B">
            <w:pPr>
              <w:spacing w:after="220" w:lineRule="auto"/>
              <w:jc w:val="center"/>
              <w:rPr>
                <w:sz w:val="18"/>
                <w:szCs w:val="18"/>
              </w:rPr>
            </w:pPr>
            <w:r w:rsidDel="00000000" w:rsidR="00000000" w:rsidRPr="00000000">
              <w:rPr>
                <w:color w:val="000000"/>
                <w:sz w:val="18"/>
                <w:szCs w:val="18"/>
                <w:rtl w:val="0"/>
              </w:rPr>
              <w:t xml:space="preserve">44 (97.8%)</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22D">
            <w:pPr>
              <w:spacing w:after="220" w:lineRule="auto"/>
              <w:jc w:val="center"/>
              <w:rPr>
                <w:sz w:val="18"/>
                <w:szCs w:val="18"/>
              </w:rPr>
            </w:pPr>
            <w:r w:rsidDel="00000000" w:rsidR="00000000" w:rsidRPr="00000000">
              <w:rPr>
                <w:color w:val="000000"/>
                <w:sz w:val="18"/>
                <w:szCs w:val="18"/>
                <w:rtl w:val="0"/>
              </w:rPr>
              <w:t xml:space="preserve">1 (2.2%)</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22E">
            <w:pPr>
              <w:spacing w:after="220" w:lineRule="auto"/>
              <w:jc w:val="center"/>
              <w:rPr>
                <w:sz w:val="18"/>
                <w:szCs w:val="18"/>
              </w:rPr>
            </w:pPr>
            <w:r w:rsidDel="00000000" w:rsidR="00000000" w:rsidRPr="00000000">
              <w:rPr>
                <w:sz w:val="18"/>
                <w:szCs w:val="18"/>
                <w:rtl w:val="0"/>
              </w:rPr>
              <w:t xml:space="preserve">1 (2.2%)</w:t>
            </w:r>
          </w:p>
        </w:tc>
        <w:tc>
          <w:tcPr>
            <w:tcBorders>
              <w:top w:color="000000" w:space="0" w:sz="0" w:val="nil"/>
              <w:left w:color="000000" w:space="0" w:sz="0" w:val="nil"/>
              <w:right w:color="000000" w:space="0" w:sz="0" w:val="nil"/>
            </w:tcBorders>
          </w:tcPr>
          <w:p w:rsidR="00000000" w:rsidDel="00000000" w:rsidP="00000000" w:rsidRDefault="00000000" w:rsidRPr="00000000" w14:paraId="0000022F">
            <w:pPr>
              <w:spacing w:after="220" w:lineRule="auto"/>
              <w:jc w:val="center"/>
              <w:rPr>
                <w:sz w:val="18"/>
                <w:szCs w:val="18"/>
              </w:rPr>
            </w:pPr>
            <w:r w:rsidDel="00000000" w:rsidR="00000000" w:rsidRPr="00000000">
              <w:rPr>
                <w:sz w:val="18"/>
                <w:szCs w:val="18"/>
                <w:rtl w:val="0"/>
              </w:rPr>
              <w:t xml:space="preserve">44 (97.8%)</w:t>
            </w:r>
          </w:p>
        </w:tc>
      </w:tr>
    </w:tbl>
    <w:p w:rsidR="00000000" w:rsidDel="00000000" w:rsidP="00000000" w:rsidRDefault="00000000" w:rsidRPr="00000000" w14:paraId="00000230">
      <w:pPr>
        <w:rPr>
          <w:sz w:val="22"/>
          <w:szCs w:val="22"/>
        </w:rPr>
      </w:pPr>
      <w:r w:rsidDel="00000000" w:rsidR="00000000" w:rsidRPr="00000000">
        <w:rPr>
          <w:rtl w:val="0"/>
        </w:rPr>
      </w:r>
    </w:p>
    <w:sectPr>
      <w:headerReference r:id="rId1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6D63"/>
    <w:rPr>
      <w:rFonts w:eastAsiaTheme="minorEastAsia"/>
      <w:lang w:val="es-ES_tradnl"/>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Hipervnculo">
    <w:name w:val="Hyperlink"/>
    <w:basedOn w:val="Fuentedeprrafopredeter"/>
    <w:uiPriority w:val="99"/>
    <w:unhideWhenUsed w:val="1"/>
    <w:rsid w:val="005F6D63"/>
    <w:rPr>
      <w:color w:val="0000ff"/>
      <w:u w:val="single"/>
    </w:rPr>
  </w:style>
  <w:style w:type="paragraph" w:styleId="Prrafodelista">
    <w:name w:val="List Paragraph"/>
    <w:basedOn w:val="Normal"/>
    <w:uiPriority w:val="34"/>
    <w:qFormat w:val="1"/>
    <w:rsid w:val="005F6D63"/>
    <w:pPr>
      <w:ind w:left="720"/>
      <w:contextualSpacing w:val="1"/>
    </w:pPr>
  </w:style>
  <w:style w:type="table" w:styleId="Tablaconcuadrcula">
    <w:name w:val="Table Grid"/>
    <w:basedOn w:val="Tablanormal"/>
    <w:uiPriority w:val="39"/>
    <w:rsid w:val="005F6D63"/>
    <w:rPr>
      <w:rFonts w:eastAsiaTheme="minorEastAsia"/>
      <w:lang w:val="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cinsinresolver">
    <w:name w:val="Unresolved Mention"/>
    <w:basedOn w:val="Fuentedeprrafopredeter"/>
    <w:uiPriority w:val="99"/>
    <w:semiHidden w:val="1"/>
    <w:unhideWhenUsed w:val="1"/>
    <w:rsid w:val="00346AF3"/>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doi.org/10.1590/1518-8345.0604.2746"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medes.com/publication/141805"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yperlink" Target="http://scielo.isciii.es/scielo.php?script=sci_arttext&amp;pid=S1137-66272021000300417&amp;lng=es" TargetMode="External"/><Relationship Id="rId4" Type="http://schemas.openxmlformats.org/officeDocument/2006/relationships/numbering" Target="numbering.xml"/><Relationship Id="rId9" Type="http://schemas.openxmlformats.org/officeDocument/2006/relationships/hyperlink" Target="https://www.who.int/es/news-room/fact-sheets/detail/patient-safe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7jZ77ciH+leKwRDWekoDMYWEjQ==">CgMxLjAyCmlkLjN6bnlzaDcyCWlkLmdqZGd4czIKaWQuMzBqMHpsbDIKaWQuMWZvYjl0ZTIKaWQuMmV0OTJwMDIKaWQuM2R5NnZrbTIJaWQudHlqY3d0OAByITFKT3NsNHM3REVNcmRIZkFyZXh2UFhmcThxRHdxVEQ4Sw==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7B3E346EC4DE34FBD2D7AAE751D3E50" ma:contentTypeVersion="14" ma:contentTypeDescription="Crear nuevo documento." ma:contentTypeScope="" ma:versionID="51d79fa72372a6cb0cf76d5be9d561d1">
  <xsd:schema xmlns:xsd="http://www.w3.org/2001/XMLSchema" xmlns:xs="http://www.w3.org/2001/XMLSchema" xmlns:p="http://schemas.microsoft.com/office/2006/metadata/properties" xmlns:ns2="c8478d29-0f10-4507-b782-4839fb4f9ff0" xmlns:ns3="9c0aa77f-86ef-4c28-a44a-ef13c71cd888" targetNamespace="http://schemas.microsoft.com/office/2006/metadata/properties" ma:root="true" ma:fieldsID="6f7a48cf474aa20f478ce4818c9b76df" ns2:_="" ns3:_="">
    <xsd:import namespace="c8478d29-0f10-4507-b782-4839fb4f9ff0"/>
    <xsd:import namespace="9c0aa77f-86ef-4c28-a44a-ef13c71cd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8d29-0f10-4507-b782-4839fb4f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bc17c5b-a094-464e-92de-b8a21c3c1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aa77f-86ef-4c28-a44a-ef13c71cd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9ad93e-b707-47f8-a404-421c5db4cc98}" ma:internalName="TaxCatchAll" ma:showField="CatchAllData" ma:web="9c0aa77f-86ef-4c28-a44a-ef13c71cd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930DACE-8E45-4232-9D98-9F6E5D7AA07A}"/>
</file>

<file path=customXML/itemProps3.xml><?xml version="1.0" encoding="utf-8"?>
<ds:datastoreItem xmlns:ds="http://schemas.openxmlformats.org/officeDocument/2006/customXml" ds:itemID="{3447EED5-20AB-4863-808F-470FD33FECC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2023-03-28T10:59:00Z</dcterms:created>
  <dc:creator>NAHIARA PACHECO FERNANDEZ</dc:creator>
</cp:coreProperties>
</file>